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0E792" w14:textId="77777777" w:rsidR="009D18F6" w:rsidRPr="005E54D5" w:rsidRDefault="009D18F6" w:rsidP="00BB5416">
      <w:pPr>
        <w:rPr>
          <w:rFonts w:eastAsiaTheme="majorEastAsia"/>
        </w:rPr>
      </w:pPr>
    </w:p>
    <w:p w14:paraId="6265D57E" w14:textId="006B3525" w:rsidR="009D18F6" w:rsidRPr="005E54D5" w:rsidRDefault="002C2C8F" w:rsidP="002C2C8F">
      <w:pPr>
        <w:tabs>
          <w:tab w:val="left" w:pos="5237"/>
        </w:tabs>
        <w:rPr>
          <w:rFonts w:eastAsiaTheme="majorEastAsia"/>
        </w:rPr>
      </w:pPr>
      <w:r>
        <w:rPr>
          <w:rFonts w:eastAsiaTheme="majorEastAsia"/>
        </w:rPr>
        <w:tab/>
      </w:r>
    </w:p>
    <w:p w14:paraId="5DE24D1B" w14:textId="77777777" w:rsidR="00501A6E" w:rsidRPr="005E54D5" w:rsidRDefault="00501A6E" w:rsidP="00BB5416">
      <w:pPr>
        <w:rPr>
          <w:rFonts w:eastAsiaTheme="majorEastAsia"/>
        </w:rPr>
      </w:pPr>
    </w:p>
    <w:p w14:paraId="6D8956E6" w14:textId="43FC3588" w:rsidR="00501A6E" w:rsidRDefault="00501A6E" w:rsidP="00BB5416">
      <w:pPr>
        <w:rPr>
          <w:rFonts w:eastAsiaTheme="majorEastAsia"/>
        </w:rPr>
      </w:pPr>
    </w:p>
    <w:p w14:paraId="3D9E8ADB" w14:textId="0641D558" w:rsidR="00100A99" w:rsidRDefault="00100A99" w:rsidP="00BB5416">
      <w:pPr>
        <w:rPr>
          <w:rFonts w:eastAsiaTheme="majorEastAsia"/>
        </w:rPr>
      </w:pPr>
    </w:p>
    <w:p w14:paraId="26A24605" w14:textId="3A64F85F" w:rsidR="00100A99" w:rsidRDefault="00100A99" w:rsidP="00BB5416">
      <w:pPr>
        <w:rPr>
          <w:rFonts w:eastAsiaTheme="majorEastAsia"/>
        </w:rPr>
      </w:pPr>
    </w:p>
    <w:p w14:paraId="4E992416" w14:textId="640A3615" w:rsidR="00100A99" w:rsidRDefault="00100A99" w:rsidP="00BB5416">
      <w:pPr>
        <w:rPr>
          <w:rFonts w:eastAsiaTheme="majorEastAsia"/>
        </w:rPr>
      </w:pPr>
    </w:p>
    <w:p w14:paraId="76C9B884" w14:textId="77777777" w:rsidR="00100A99" w:rsidRPr="005E54D5" w:rsidRDefault="00100A99" w:rsidP="00BB5416">
      <w:pPr>
        <w:rPr>
          <w:rFonts w:eastAsiaTheme="majorEastAsia"/>
        </w:rPr>
      </w:pPr>
    </w:p>
    <w:p w14:paraId="3AB97CDC" w14:textId="257C6AD6" w:rsidR="009F54F1" w:rsidRDefault="009F54F1" w:rsidP="00BB5416">
      <w:pPr>
        <w:rPr>
          <w:rFonts w:eastAsiaTheme="majorEastAsia"/>
        </w:rPr>
      </w:pPr>
    </w:p>
    <w:p w14:paraId="311B5F1F" w14:textId="021CF7C4" w:rsidR="003D2AB0" w:rsidRDefault="003D2AB0" w:rsidP="00BB5416">
      <w:pPr>
        <w:rPr>
          <w:rFonts w:eastAsiaTheme="majorEastAsia"/>
        </w:rPr>
      </w:pPr>
    </w:p>
    <w:p w14:paraId="2C59C2F7" w14:textId="0A995062" w:rsidR="003D2AB0" w:rsidRDefault="003D2AB0" w:rsidP="00BB5416">
      <w:pPr>
        <w:rPr>
          <w:rFonts w:eastAsiaTheme="majorEastAsia"/>
        </w:rPr>
      </w:pPr>
    </w:p>
    <w:p w14:paraId="36AD7121" w14:textId="5880B833" w:rsidR="003D2AB0" w:rsidRDefault="003D2AB0" w:rsidP="00BB5416">
      <w:pPr>
        <w:rPr>
          <w:rFonts w:eastAsiaTheme="majorEastAsia"/>
        </w:rPr>
      </w:pPr>
    </w:p>
    <w:p w14:paraId="5D2765BA" w14:textId="4B766B4F" w:rsidR="00BD3B26" w:rsidRDefault="00BD3B26" w:rsidP="00BB5416">
      <w:pPr>
        <w:rPr>
          <w:rFonts w:eastAsiaTheme="majorEastAsia"/>
        </w:rPr>
      </w:pPr>
    </w:p>
    <w:p w14:paraId="18FF8E44" w14:textId="77777777" w:rsidR="00BD3B26" w:rsidRPr="005E54D5" w:rsidRDefault="00BD3B26" w:rsidP="00BB5416">
      <w:pPr>
        <w:rPr>
          <w:rFonts w:eastAsiaTheme="majorEastAsia"/>
        </w:rPr>
      </w:pPr>
    </w:p>
    <w:p w14:paraId="4F54299C" w14:textId="3C12BEB1" w:rsidR="00D564FA" w:rsidRDefault="003D6D0A" w:rsidP="00C22B99">
      <w:pPr>
        <w:pStyle w:val="Titelrubrik"/>
      </w:pPr>
      <w:r>
        <w:t>Försäkringstekniska riktlinjer</w:t>
      </w:r>
    </w:p>
    <w:p w14:paraId="027FFCCD" w14:textId="0311F807" w:rsidR="00C2585C" w:rsidRPr="005E54D5" w:rsidRDefault="00C2585C" w:rsidP="00BB5416">
      <w:pPr>
        <w:rPr>
          <w:rFonts w:eastAsiaTheme="majorEastAsia"/>
        </w:rPr>
      </w:pPr>
    </w:p>
    <w:p w14:paraId="5D6C4EB8" w14:textId="77777777" w:rsidR="006E2F09" w:rsidRPr="005E54D5" w:rsidRDefault="006E2F09" w:rsidP="00BB5416">
      <w:pPr>
        <w:rPr>
          <w:rFonts w:eastAsiaTheme="majorEastAsia"/>
        </w:rPr>
      </w:pPr>
    </w:p>
    <w:p w14:paraId="374485D7" w14:textId="77777777" w:rsidR="00C2585C" w:rsidRPr="005E54D5" w:rsidRDefault="00C2585C" w:rsidP="00BB5416">
      <w:pPr>
        <w:rPr>
          <w:rFonts w:eastAsiaTheme="majorEastAsia"/>
        </w:rPr>
      </w:pPr>
    </w:p>
    <w:p w14:paraId="27503003" w14:textId="4A4EAEC4" w:rsidR="009D18F6" w:rsidRPr="005E54D5" w:rsidRDefault="009D18F6" w:rsidP="00BB5416">
      <w:pPr>
        <w:rPr>
          <w:rFonts w:eastAsiaTheme="majorEastAsia"/>
        </w:rPr>
      </w:pPr>
    </w:p>
    <w:p w14:paraId="47938093" w14:textId="00B86C69" w:rsidR="009D18F6" w:rsidRPr="005E54D5" w:rsidRDefault="009D18F6" w:rsidP="00BB5416">
      <w:pPr>
        <w:rPr>
          <w:rFonts w:eastAsiaTheme="majorEastAsia"/>
        </w:rPr>
      </w:pPr>
    </w:p>
    <w:p w14:paraId="5B1C0C4D" w14:textId="77777777" w:rsidR="00D564FA" w:rsidRPr="005E54D5" w:rsidRDefault="00D564FA" w:rsidP="00BB5416">
      <w:pPr>
        <w:rPr>
          <w:rFonts w:eastAsiaTheme="majorEastAsia"/>
        </w:rPr>
      </w:pPr>
    </w:p>
    <w:p w14:paraId="5E10DB62" w14:textId="31218461" w:rsidR="00D564FA" w:rsidRDefault="00D564FA" w:rsidP="00BB5416">
      <w:pPr>
        <w:rPr>
          <w:rFonts w:eastAsiaTheme="majorEastAsia"/>
        </w:rPr>
      </w:pPr>
    </w:p>
    <w:p w14:paraId="6DE04B3C" w14:textId="50B3405F" w:rsidR="007A5F42" w:rsidRDefault="007A5F42" w:rsidP="00BB5416">
      <w:pPr>
        <w:rPr>
          <w:rFonts w:eastAsiaTheme="majorEastAsia"/>
        </w:rPr>
      </w:pPr>
    </w:p>
    <w:p w14:paraId="07B954DB" w14:textId="6BF90EF4" w:rsidR="007A5F42" w:rsidRDefault="007A5F42" w:rsidP="00BB5416">
      <w:pPr>
        <w:rPr>
          <w:rFonts w:eastAsiaTheme="majorEastAsia"/>
        </w:rPr>
      </w:pPr>
    </w:p>
    <w:p w14:paraId="4CBF85B9" w14:textId="6A79F760" w:rsidR="007A5F42" w:rsidRDefault="007A5F42" w:rsidP="00BB5416">
      <w:pPr>
        <w:rPr>
          <w:rFonts w:eastAsiaTheme="majorEastAsia"/>
        </w:rPr>
      </w:pPr>
    </w:p>
    <w:p w14:paraId="641410AA" w14:textId="70D02E16" w:rsidR="007A5F42" w:rsidRDefault="007A5F42" w:rsidP="00BB5416">
      <w:pPr>
        <w:rPr>
          <w:rFonts w:eastAsiaTheme="majorEastAsia"/>
        </w:rPr>
      </w:pPr>
    </w:p>
    <w:p w14:paraId="7D84E425" w14:textId="6E315DD8" w:rsidR="007A5F42" w:rsidRDefault="007A5F42" w:rsidP="00BB5416">
      <w:pPr>
        <w:rPr>
          <w:rFonts w:eastAsiaTheme="majorEastAsia"/>
        </w:rPr>
      </w:pPr>
    </w:p>
    <w:p w14:paraId="76EA11CA" w14:textId="0CB968FF" w:rsidR="007A5F42" w:rsidRDefault="007A5F42" w:rsidP="00BB5416">
      <w:pPr>
        <w:rPr>
          <w:rFonts w:eastAsiaTheme="majorEastAsia"/>
        </w:rPr>
      </w:pPr>
    </w:p>
    <w:p w14:paraId="3FFDC6CB" w14:textId="05C03084" w:rsidR="007A5F42" w:rsidRDefault="007A5F42" w:rsidP="00BB5416">
      <w:pPr>
        <w:rPr>
          <w:rFonts w:eastAsiaTheme="majorEastAsia"/>
        </w:rPr>
      </w:pPr>
    </w:p>
    <w:p w14:paraId="3911F878" w14:textId="0175D622" w:rsidR="007A5F42" w:rsidRDefault="007A5F42" w:rsidP="00BB5416">
      <w:pPr>
        <w:rPr>
          <w:rFonts w:eastAsiaTheme="majorEastAsia"/>
        </w:rPr>
      </w:pPr>
    </w:p>
    <w:p w14:paraId="20A49538" w14:textId="64FD4807" w:rsidR="007A5F42" w:rsidRDefault="007A5F42" w:rsidP="00BB5416">
      <w:pPr>
        <w:rPr>
          <w:rFonts w:eastAsiaTheme="majorEastAsia"/>
        </w:rPr>
      </w:pPr>
    </w:p>
    <w:p w14:paraId="63C13335" w14:textId="05D667C0" w:rsidR="007A5F42" w:rsidRDefault="007A5F42" w:rsidP="00BB5416">
      <w:pPr>
        <w:rPr>
          <w:rFonts w:eastAsiaTheme="majorEastAsia"/>
        </w:rPr>
      </w:pPr>
    </w:p>
    <w:p w14:paraId="0D56EF05" w14:textId="5B1C441E" w:rsidR="007A5F42" w:rsidRDefault="007A5F42" w:rsidP="00BB5416">
      <w:pPr>
        <w:rPr>
          <w:rFonts w:eastAsiaTheme="majorEastAsia"/>
        </w:rPr>
      </w:pPr>
    </w:p>
    <w:p w14:paraId="666E20AB" w14:textId="29E81DEF" w:rsidR="007A5F42" w:rsidRDefault="007A5F42" w:rsidP="00BB5416">
      <w:pPr>
        <w:rPr>
          <w:rFonts w:eastAsiaTheme="majorEastAsia"/>
        </w:rPr>
      </w:pPr>
    </w:p>
    <w:p w14:paraId="48D11D2F" w14:textId="77777777" w:rsidR="007A5F42" w:rsidRPr="005E54D5" w:rsidRDefault="007A5F42" w:rsidP="00BB5416">
      <w:pPr>
        <w:rPr>
          <w:rFonts w:eastAsiaTheme="majorEastAsia"/>
        </w:rPr>
      </w:pPr>
    </w:p>
    <w:tbl>
      <w:tblPr>
        <w:tblStyle w:val="Tabellrutnt"/>
        <w:tblW w:w="9072" w:type="dxa"/>
        <w:tblLook w:val="04A0" w:firstRow="1" w:lastRow="0" w:firstColumn="1" w:lastColumn="0" w:noHBand="0" w:noVBand="1"/>
      </w:tblPr>
      <w:tblGrid>
        <w:gridCol w:w="2601"/>
        <w:gridCol w:w="6471"/>
      </w:tblGrid>
      <w:tr w:rsidR="00D564FA" w:rsidRPr="00CC0AF7" w14:paraId="587EC548" w14:textId="77777777" w:rsidTr="00E161D0">
        <w:tc>
          <w:tcPr>
            <w:tcW w:w="2601" w:type="dxa"/>
          </w:tcPr>
          <w:p w14:paraId="47BD30A4" w14:textId="6433062C" w:rsidR="00D564FA" w:rsidRPr="00C22B99" w:rsidRDefault="00CF4EFE" w:rsidP="00BB5416">
            <w:pPr>
              <w:rPr>
                <w:b/>
                <w:color w:val="009CE0"/>
                <w:sz w:val="20"/>
                <w:szCs w:val="20"/>
              </w:rPr>
            </w:pPr>
            <w:r w:rsidRPr="00C22B99">
              <w:rPr>
                <w:rFonts w:eastAsiaTheme="majorEastAsia"/>
                <w:b/>
                <w:color w:val="009CE0"/>
              </w:rPr>
              <w:t>Regelverksinformation</w:t>
            </w:r>
          </w:p>
        </w:tc>
        <w:tc>
          <w:tcPr>
            <w:tcW w:w="6471" w:type="dxa"/>
          </w:tcPr>
          <w:p w14:paraId="3FFFEEF3" w14:textId="77777777" w:rsidR="00D564FA" w:rsidRPr="00C22B99" w:rsidRDefault="00D564FA" w:rsidP="00BB5416">
            <w:pPr>
              <w:rPr>
                <w:color w:val="009CE0"/>
              </w:rPr>
            </w:pPr>
          </w:p>
        </w:tc>
      </w:tr>
      <w:tr w:rsidR="00D564FA" w:rsidRPr="00CC0AF7" w14:paraId="381B4E72" w14:textId="77777777" w:rsidTr="00E161D0">
        <w:tc>
          <w:tcPr>
            <w:tcW w:w="2601" w:type="dxa"/>
          </w:tcPr>
          <w:p w14:paraId="12632F4E" w14:textId="2982147A" w:rsidR="00D564FA" w:rsidRPr="00B316C6" w:rsidRDefault="00B316C6" w:rsidP="00BB5416">
            <w:r>
              <w:t>Företag</w:t>
            </w:r>
          </w:p>
        </w:tc>
        <w:tc>
          <w:tcPr>
            <w:tcW w:w="6471" w:type="dxa"/>
          </w:tcPr>
          <w:p w14:paraId="7BCB0F6A" w14:textId="426C648B" w:rsidR="00D564FA" w:rsidRPr="00CC0AF7" w:rsidDel="00DB7B71" w:rsidRDefault="00D564FA" w:rsidP="0052079C">
            <w:r w:rsidRPr="00CC0AF7">
              <w:t xml:space="preserve">Folksam </w:t>
            </w:r>
            <w:r w:rsidR="00DE576E">
              <w:t>Tjänstepension AB</w:t>
            </w:r>
          </w:p>
        </w:tc>
      </w:tr>
      <w:tr w:rsidR="00D564FA" w:rsidRPr="00CC0AF7" w14:paraId="63DBF738" w14:textId="77777777" w:rsidTr="00E161D0">
        <w:tc>
          <w:tcPr>
            <w:tcW w:w="2601" w:type="dxa"/>
          </w:tcPr>
          <w:p w14:paraId="04C065F2" w14:textId="77777777" w:rsidR="00D564FA" w:rsidRPr="00CC0AF7" w:rsidRDefault="00D564FA" w:rsidP="00BB5416">
            <w:pPr>
              <w:rPr>
                <w:b/>
              </w:rPr>
            </w:pPr>
            <w:r w:rsidRPr="00CC0AF7">
              <w:t>Beslutad av</w:t>
            </w:r>
          </w:p>
        </w:tc>
        <w:tc>
          <w:tcPr>
            <w:tcW w:w="6471" w:type="dxa"/>
          </w:tcPr>
          <w:p w14:paraId="6413BA39" w14:textId="1F83C944" w:rsidR="00D564FA" w:rsidRPr="00CC0AF7" w:rsidRDefault="0052079C" w:rsidP="00BB5416">
            <w:r>
              <w:t>S</w:t>
            </w:r>
            <w:r w:rsidR="00D564FA" w:rsidRPr="00CC0AF7">
              <w:t>tyrelse</w:t>
            </w:r>
            <w:r>
              <w:t>n</w:t>
            </w:r>
          </w:p>
        </w:tc>
      </w:tr>
      <w:tr w:rsidR="00D564FA" w:rsidRPr="00CC0AF7" w14:paraId="05293E2A" w14:textId="77777777" w:rsidTr="00E161D0">
        <w:tc>
          <w:tcPr>
            <w:tcW w:w="2601" w:type="dxa"/>
          </w:tcPr>
          <w:p w14:paraId="08A8095F" w14:textId="77777777" w:rsidR="00D564FA" w:rsidRPr="00CC0AF7" w:rsidRDefault="00D564FA" w:rsidP="00BB5416">
            <w:pPr>
              <w:rPr>
                <w:b/>
              </w:rPr>
            </w:pPr>
            <w:r w:rsidRPr="00CC0AF7">
              <w:t>Regelverksägare</w:t>
            </w:r>
          </w:p>
        </w:tc>
        <w:tc>
          <w:tcPr>
            <w:tcW w:w="6471" w:type="dxa"/>
          </w:tcPr>
          <w:p w14:paraId="317C35D0" w14:textId="1639EAE7" w:rsidR="00D564FA" w:rsidRPr="00CC0AF7" w:rsidRDefault="0006655A" w:rsidP="00BB5416">
            <w:r>
              <w:t>Verkställande direktör</w:t>
            </w:r>
          </w:p>
        </w:tc>
      </w:tr>
      <w:tr w:rsidR="00D564FA" w:rsidRPr="00CC0AF7" w14:paraId="1F169D4F" w14:textId="77777777" w:rsidTr="00E161D0">
        <w:tc>
          <w:tcPr>
            <w:tcW w:w="2601" w:type="dxa"/>
          </w:tcPr>
          <w:p w14:paraId="1A427D51" w14:textId="77777777" w:rsidR="00D564FA" w:rsidRPr="00CC0AF7" w:rsidRDefault="00D564FA" w:rsidP="00BB5416">
            <w:pPr>
              <w:rPr>
                <w:b/>
              </w:rPr>
            </w:pPr>
            <w:r w:rsidRPr="00CC0AF7">
              <w:t>Regelverksspecialist</w:t>
            </w:r>
          </w:p>
        </w:tc>
        <w:tc>
          <w:tcPr>
            <w:tcW w:w="6471" w:type="dxa"/>
          </w:tcPr>
          <w:p w14:paraId="03CE5EC7" w14:textId="00BB6264" w:rsidR="00D564FA" w:rsidRPr="00CC0AF7" w:rsidRDefault="00F7197A" w:rsidP="00BB5416">
            <w:r>
              <w:t xml:space="preserve">Ansvarig aktuariefunktion </w:t>
            </w:r>
          </w:p>
        </w:tc>
      </w:tr>
      <w:tr w:rsidR="00D564FA" w:rsidRPr="00CC0AF7" w14:paraId="7AA70750" w14:textId="77777777" w:rsidTr="00E161D0">
        <w:tc>
          <w:tcPr>
            <w:tcW w:w="2601" w:type="dxa"/>
          </w:tcPr>
          <w:p w14:paraId="419DAF33" w14:textId="77777777" w:rsidR="00D564FA" w:rsidRPr="00CC0AF7" w:rsidRDefault="00D564FA" w:rsidP="00BB5416">
            <w:pPr>
              <w:rPr>
                <w:b/>
              </w:rPr>
            </w:pPr>
            <w:r w:rsidRPr="00CC0AF7">
              <w:t>Informationsklass</w:t>
            </w:r>
          </w:p>
        </w:tc>
        <w:tc>
          <w:tcPr>
            <w:tcW w:w="6471" w:type="dxa"/>
          </w:tcPr>
          <w:p w14:paraId="595706A7" w14:textId="7C0F20BE" w:rsidR="00D564FA" w:rsidRPr="00CC0AF7" w:rsidRDefault="000871DA" w:rsidP="00BB5416">
            <w:r>
              <w:t>Öppen</w:t>
            </w:r>
          </w:p>
        </w:tc>
      </w:tr>
    </w:tbl>
    <w:p w14:paraId="7B4B3596" w14:textId="77777777" w:rsidR="00D564FA" w:rsidRPr="005E54D5" w:rsidRDefault="00D564FA" w:rsidP="00BB5416">
      <w:r w:rsidRPr="005E54D5">
        <w:br w:type="page"/>
      </w:r>
    </w:p>
    <w:sdt>
      <w:sdtPr>
        <w:rPr>
          <w:rFonts w:ascii="Arial" w:eastAsiaTheme="minorEastAsia" w:hAnsi="Arial" w:cs="Arial"/>
          <w:color w:val="auto"/>
          <w:sz w:val="22"/>
          <w:szCs w:val="22"/>
        </w:rPr>
        <w:id w:val="3082125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703A9D" w14:textId="397F85CD" w:rsidR="00A24397" w:rsidRDefault="00D4056A">
          <w:pPr>
            <w:pStyle w:val="Innehllsfrteckningsrubrik"/>
          </w:pPr>
          <w:r>
            <w:t>Innehåll</w:t>
          </w:r>
        </w:p>
        <w:p w14:paraId="3152B707" w14:textId="1F102CBC" w:rsidR="00A1122E" w:rsidRDefault="00A24397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9997309" w:history="1">
            <w:r w:rsidR="00A1122E" w:rsidRPr="00765551">
              <w:rPr>
                <w:rStyle w:val="Hyperlnk"/>
              </w:rPr>
              <w:t>1.</w:t>
            </w:r>
            <w:r w:rsidR="00A1122E"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="00A1122E" w:rsidRPr="00765551">
              <w:rPr>
                <w:rStyle w:val="Hyperlnk"/>
              </w:rPr>
              <w:t>Inledning</w:t>
            </w:r>
            <w:r w:rsidR="00A1122E">
              <w:rPr>
                <w:webHidden/>
              </w:rPr>
              <w:tab/>
            </w:r>
            <w:r w:rsidR="00A1122E">
              <w:rPr>
                <w:webHidden/>
              </w:rPr>
              <w:fldChar w:fldCharType="begin"/>
            </w:r>
            <w:r w:rsidR="00A1122E">
              <w:rPr>
                <w:webHidden/>
              </w:rPr>
              <w:instrText xml:space="preserve"> PAGEREF _Toc229997309 \h </w:instrText>
            </w:r>
            <w:r w:rsidR="00A1122E">
              <w:rPr>
                <w:webHidden/>
              </w:rPr>
            </w:r>
            <w:r w:rsidR="00A1122E"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3</w:t>
            </w:r>
            <w:r w:rsidR="00A1122E">
              <w:rPr>
                <w:webHidden/>
              </w:rPr>
              <w:fldChar w:fldCharType="end"/>
            </w:r>
          </w:hyperlink>
        </w:p>
        <w:p w14:paraId="4D4453C8" w14:textId="6BF77C3C" w:rsidR="00A1122E" w:rsidRDefault="00A1122E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29997310" w:history="1">
            <w:r w:rsidRPr="00765551">
              <w:rPr>
                <w:rStyle w:val="Hyperlnk"/>
              </w:rPr>
              <w:t>2.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765551">
              <w:rPr>
                <w:rStyle w:val="Hyperlnk"/>
              </w:rPr>
              <w:t>Verksamhet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14F05BF" w14:textId="34166522" w:rsidR="00A1122E" w:rsidRDefault="00A1122E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29997311" w:history="1">
            <w:r w:rsidRPr="00765551">
              <w:rPr>
                <w:rStyle w:val="Hyperlnk"/>
              </w:rPr>
              <w:t>3.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765551">
              <w:rPr>
                <w:rStyle w:val="Hyperlnk"/>
              </w:rPr>
              <w:t>Gemensamma riktlinjer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F9C49B3" w14:textId="60BD223A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2" w:history="1">
            <w:r w:rsidRPr="00765551">
              <w:rPr>
                <w:rStyle w:val="Hyperlnk"/>
              </w:rPr>
              <w:t>3.1.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Plan för återställande av solvensen och principer för hur soliditeten ska tillgodoses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9C445A7" w14:textId="193DEEA3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3" w:history="1">
            <w:r w:rsidRPr="00765551">
              <w:rPr>
                <w:rStyle w:val="Hyperlnk"/>
              </w:rPr>
              <w:t>3.2.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Regler för fördelning och tilldelning av överskott samt förlusttäckning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9B0C12E" w14:textId="1A20CECA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4" w:history="1">
            <w:r w:rsidRPr="00765551">
              <w:rPr>
                <w:rStyle w:val="Hyperlnk"/>
              </w:rPr>
              <w:t>3.3.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Företagets rätt att överlåta försäkringsbestånd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1CEFCD51" w14:textId="4AFB425E" w:rsidR="00A1122E" w:rsidRDefault="00A1122E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29997315" w:history="1">
            <w:r w:rsidRPr="00765551">
              <w:rPr>
                <w:rStyle w:val="Hyperlnk"/>
              </w:rPr>
              <w:t>4.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765551">
              <w:rPr>
                <w:rStyle w:val="Hyperlnk"/>
              </w:rPr>
              <w:t>Traditionell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6A45A78" w14:textId="0ECCF3BA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6" w:history="1">
            <w:r w:rsidRPr="00765551">
              <w:rPr>
                <w:rStyle w:val="Hyperlnk"/>
              </w:rPr>
              <w:t>4.1.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Bestämmande av premier och förmåner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5A2F705B" w14:textId="39491788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7" w:history="1">
            <w:r w:rsidRPr="00765551">
              <w:rPr>
                <w:rStyle w:val="Hyperlnk"/>
              </w:rPr>
              <w:t>4.2.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Beräkning av försäkringstekniska avsättningar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68F626D4" w14:textId="7F8AB212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8" w:history="1">
            <w:r w:rsidRPr="00765551">
              <w:rPr>
                <w:rStyle w:val="Hyperlnk"/>
              </w:rPr>
              <w:t>4.3.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Återköp av försäkringar samt överföring av försäkringars värde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63C6FB4" w14:textId="1B59799E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19" w:history="1">
            <w:r w:rsidRPr="00765551">
              <w:rPr>
                <w:rStyle w:val="Hyperlnk"/>
              </w:rPr>
              <w:t>4.4.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Fördelning av överskott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_Toc229997319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17961A52" w14:textId="2F4B00BE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28" w:history="1">
            <w:r w:rsidRPr="00765551">
              <w:rPr>
                <w:rStyle w:val="Hyperlnk"/>
              </w:rPr>
              <w:t>4.4.1.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Förmånsbestämd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747C6BAA" w14:textId="1A4E7055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29" w:history="1">
            <w:r w:rsidRPr="00765551">
              <w:rPr>
                <w:rStyle w:val="Hyperlnk"/>
              </w:rPr>
              <w:t>4.4.2.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Premiebestämd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643B5B95" w14:textId="5D8B2EB5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0" w:history="1">
            <w:r w:rsidRPr="00765551">
              <w:rPr>
                <w:rStyle w:val="Hyperlnk"/>
              </w:rPr>
              <w:t>4.5.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Tilldelning av återbäring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543542A9" w14:textId="6F3210FD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2" w:history="1">
            <w:r w:rsidRPr="00765551">
              <w:rPr>
                <w:rStyle w:val="Hyperlnk"/>
              </w:rPr>
              <w:t>4.5.1.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Förmånsbestämd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A4B3DF0" w14:textId="3D5F93D2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3" w:history="1">
            <w:r w:rsidRPr="00765551">
              <w:rPr>
                <w:rStyle w:val="Hyperlnk"/>
              </w:rPr>
              <w:t>4.5.2.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Premiebestämd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393F348" w14:textId="7950CB05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4" w:history="1">
            <w:r w:rsidRPr="00765551">
              <w:rPr>
                <w:rStyle w:val="Hyperlnk"/>
              </w:rPr>
              <w:t>4.6.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Periodisk utbetalning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DE8FBDA" w14:textId="563F2487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6" w:history="1">
            <w:r w:rsidRPr="00765551">
              <w:rPr>
                <w:rStyle w:val="Hyperlnk"/>
              </w:rPr>
              <w:t>4.6.1.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Förmånsbestämd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E12CD36" w14:textId="0F74E1BC" w:rsidR="00A1122E" w:rsidRDefault="00A1122E">
          <w:pPr>
            <w:pStyle w:val="Innehll2"/>
            <w:tabs>
              <w:tab w:val="left" w:pos="1418"/>
            </w:tabs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7" w:history="1">
            <w:r w:rsidRPr="00765551">
              <w:rPr>
                <w:rStyle w:val="Hyperlnk"/>
              </w:rPr>
              <w:t>4.6.2.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Premiebestämd 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52576390" w14:textId="577D7866" w:rsidR="00A1122E" w:rsidRDefault="00A1122E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29997338" w:history="1">
            <w:r w:rsidRPr="00765551">
              <w:rPr>
                <w:rStyle w:val="Hyperlnk"/>
              </w:rPr>
              <w:t>5.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765551">
              <w:rPr>
                <w:rStyle w:val="Hyperlnk"/>
              </w:rPr>
              <w:t>Kollektiv riskförsäkring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7D936812" w14:textId="0096A671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39" w:history="1">
            <w:r w:rsidRPr="00765551">
              <w:rPr>
                <w:rStyle w:val="Hyperlnk"/>
              </w:rPr>
              <w:t>5.1.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Bestämmande av premier och förmåner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1B0C75CC" w14:textId="607742DE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40" w:history="1">
            <w:r w:rsidRPr="00765551">
              <w:rPr>
                <w:rStyle w:val="Hyperlnk"/>
              </w:rPr>
              <w:t>5.2.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Beräkning av försäkringstekniska avsättningar för finansiell redovisning och solvensändamål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80FE54E" w14:textId="5A903688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41" w:history="1">
            <w:r w:rsidRPr="00765551">
              <w:rPr>
                <w:rStyle w:val="Hyperlnk"/>
              </w:rPr>
              <w:t>5.3.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Återköp av försäkringar och överföring av försäkringars värde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24DCC524" w14:textId="42C68EC4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42" w:history="1">
            <w:r w:rsidRPr="00765551">
              <w:rPr>
                <w:rStyle w:val="Hyperlnk"/>
              </w:rPr>
              <w:t>5.4.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Tilldelning av återbäring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14:paraId="4483CDD2" w14:textId="32C4FF9F" w:rsidR="00A1122E" w:rsidRDefault="00A1122E">
          <w:pPr>
            <w:pStyle w:val="Innehll2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sv-SE"/>
              <w14:ligatures w14:val="standardContextual"/>
            </w:rPr>
          </w:pPr>
          <w:hyperlink w:anchor="_Toc229997343" w:history="1">
            <w:r w:rsidRPr="00765551">
              <w:rPr>
                <w:rStyle w:val="Hyperlnk"/>
              </w:rPr>
              <w:t>5.5.</w:t>
            </w:r>
            <w:r>
              <w:rPr>
                <w:rFonts w:asciiTheme="minorHAnsi" w:eastAsiaTheme="minorEastAsia" w:hAnsiTheme="minorHAnsi" w:cstheme="minorBidi"/>
                <w:kern w:val="2"/>
                <w:sz w:val="24"/>
                <w:szCs w:val="24"/>
                <w:lang w:eastAsia="sv-SE"/>
                <w14:ligatures w14:val="standardContextual"/>
              </w:rPr>
              <w:tab/>
            </w:r>
            <w:r w:rsidRPr="00765551">
              <w:rPr>
                <w:rStyle w:val="Hyperlnk"/>
              </w:rPr>
              <w:t>Periodisk utbetalning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0F7BBFAB" w14:textId="73931DF7" w:rsidR="00A1122E" w:rsidRDefault="00A1122E">
          <w:pPr>
            <w:pStyle w:val="Innehll1"/>
            <w:rPr>
              <w:rFonts w:asciiTheme="minorHAnsi" w:hAnsiTheme="minorHAnsi" w:cstheme="minorBidi"/>
              <w:kern w:val="2"/>
              <w:sz w:val="24"/>
              <w:szCs w:val="24"/>
              <w14:ligatures w14:val="standardContextual"/>
            </w:rPr>
          </w:pPr>
          <w:hyperlink w:anchor="_Toc229997344" w:history="1">
            <w:r w:rsidRPr="00765551">
              <w:rPr>
                <w:rStyle w:val="Hyperlnk"/>
              </w:rPr>
              <w:t>6.</w:t>
            </w:r>
            <w:r>
              <w:rPr>
                <w:rFonts w:asciiTheme="minorHAnsi" w:hAnsiTheme="minorHAnsi" w:cstheme="minorBidi"/>
                <w:kern w:val="2"/>
                <w:sz w:val="24"/>
                <w:szCs w:val="24"/>
                <w14:ligatures w14:val="standardContextual"/>
              </w:rPr>
              <w:tab/>
            </w:r>
            <w:r w:rsidRPr="00765551">
              <w:rPr>
                <w:rStyle w:val="Hyperlnk"/>
              </w:rPr>
              <w:t>Fastställandeuppgifter och ändringshistorik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_Toc229997344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311CBA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A858934" w14:textId="1974B673" w:rsidR="00A24397" w:rsidRDefault="00A24397">
          <w:r>
            <w:rPr>
              <w:b/>
              <w:bCs/>
            </w:rPr>
            <w:fldChar w:fldCharType="end"/>
          </w:r>
        </w:p>
      </w:sdtContent>
    </w:sdt>
    <w:p w14:paraId="5A836CF1" w14:textId="3B9FCCF2" w:rsidR="00D564FA" w:rsidRDefault="00D564FA" w:rsidP="00BB5416">
      <w:pPr>
        <w:rPr>
          <w:rFonts w:eastAsiaTheme="majorEastAsia"/>
          <w:color w:val="009FE4" w:themeColor="accent1"/>
          <w:sz w:val="36"/>
          <w:szCs w:val="28"/>
        </w:rPr>
      </w:pPr>
    </w:p>
    <w:p w14:paraId="76CE90D5" w14:textId="77777777" w:rsidR="00E1097C" w:rsidRDefault="00E1097C" w:rsidP="00BB5416">
      <w:pPr>
        <w:rPr>
          <w:rFonts w:eastAsiaTheme="majorEastAsia"/>
          <w:color w:val="009FE4" w:themeColor="accent1"/>
          <w:sz w:val="36"/>
          <w:szCs w:val="28"/>
        </w:rPr>
      </w:pPr>
    </w:p>
    <w:p w14:paraId="5C1AE8CA" w14:textId="77777777" w:rsidR="00E1097C" w:rsidRDefault="00E1097C" w:rsidP="00BB5416">
      <w:pPr>
        <w:rPr>
          <w:rFonts w:eastAsiaTheme="majorEastAsia"/>
          <w:color w:val="009FE4" w:themeColor="accent1"/>
          <w:sz w:val="36"/>
          <w:szCs w:val="28"/>
        </w:rPr>
      </w:pPr>
    </w:p>
    <w:p w14:paraId="32CE71ED" w14:textId="77777777" w:rsidR="00E1097C" w:rsidRPr="005E54D5" w:rsidRDefault="00E1097C" w:rsidP="00BB5416">
      <w:pPr>
        <w:rPr>
          <w:rFonts w:eastAsiaTheme="majorEastAsia"/>
          <w:color w:val="009FE4" w:themeColor="accent1"/>
          <w:sz w:val="36"/>
          <w:szCs w:val="28"/>
        </w:rPr>
      </w:pPr>
    </w:p>
    <w:p w14:paraId="7EF750D5" w14:textId="66E6ED07" w:rsidR="008E4567" w:rsidRPr="00AD0D42" w:rsidRDefault="00F2315B" w:rsidP="002F0901">
      <w:pPr>
        <w:pStyle w:val="Rubrik1"/>
      </w:pPr>
      <w:bookmarkStart w:id="0" w:name="_Toc229997309"/>
      <w:r>
        <w:lastRenderedPageBreak/>
        <w:t>Inledning</w:t>
      </w:r>
      <w:bookmarkEnd w:id="0"/>
    </w:p>
    <w:p w14:paraId="1DB0674F" w14:textId="77777777" w:rsidR="009F5239" w:rsidRDefault="009F5239" w:rsidP="007F683F">
      <w:pPr>
        <w:spacing w:line="276" w:lineRule="auto"/>
      </w:pPr>
    </w:p>
    <w:p w14:paraId="7AC0C21A" w14:textId="41AB8F1F" w:rsidR="006F1095" w:rsidRPr="00907FCC" w:rsidRDefault="006F1095" w:rsidP="007F683F">
      <w:pPr>
        <w:spacing w:line="276" w:lineRule="auto"/>
      </w:pPr>
      <w:r w:rsidRPr="00907FCC">
        <w:t xml:space="preserve">Dessa </w:t>
      </w:r>
      <w:r w:rsidR="00A966E8">
        <w:t xml:space="preserve">försäkringstekniska </w:t>
      </w:r>
      <w:r w:rsidRPr="00907FCC">
        <w:t xml:space="preserve">riktlinjer innehåller principer för </w:t>
      </w:r>
      <w:r w:rsidR="00E32A0C">
        <w:t>bestämmande av premier</w:t>
      </w:r>
      <w:r w:rsidR="00A705A7">
        <w:t xml:space="preserve"> och förmåner, beräkning av </w:t>
      </w:r>
      <w:r w:rsidRPr="00907FCC">
        <w:t xml:space="preserve">försäkringstekniska </w:t>
      </w:r>
      <w:r w:rsidR="00A705A7">
        <w:t>avsättningar</w:t>
      </w:r>
      <w:r w:rsidR="00A476C9">
        <w:t xml:space="preserve">, återköp, </w:t>
      </w:r>
      <w:r w:rsidR="00FB3BFC">
        <w:t>överföring av försäkrings</w:t>
      </w:r>
      <w:r w:rsidR="00A37E7C">
        <w:t xml:space="preserve"> </w:t>
      </w:r>
      <w:r w:rsidR="00FB3BFC">
        <w:t xml:space="preserve">värde, </w:t>
      </w:r>
      <w:r w:rsidR="003A3B4B">
        <w:t xml:space="preserve">konsolidering, </w:t>
      </w:r>
      <w:r w:rsidR="00FB3BFC">
        <w:t xml:space="preserve">fördelning och tilldelning av </w:t>
      </w:r>
      <w:r w:rsidR="004429F6">
        <w:t>överskott</w:t>
      </w:r>
      <w:r w:rsidR="00DB58FA">
        <w:t>, periodisering av belopp</w:t>
      </w:r>
      <w:r w:rsidR="00FB3BFC">
        <w:t xml:space="preserve"> samt principer för hur soliditeten ska tillgodoses</w:t>
      </w:r>
      <w:r w:rsidR="00A705A7" w:rsidRPr="00907FCC">
        <w:t xml:space="preserve"> </w:t>
      </w:r>
      <w:r w:rsidRPr="00907FCC">
        <w:t xml:space="preserve">i </w:t>
      </w:r>
      <w:r w:rsidR="00555104">
        <w:t>Folksam Tjänstepension AB (i det följande</w:t>
      </w:r>
      <w:r w:rsidR="000D1CD6">
        <w:t xml:space="preserve"> ”Företaget”) </w:t>
      </w:r>
      <w:r w:rsidR="00DF57BD">
        <w:t xml:space="preserve">i </w:t>
      </w:r>
      <w:r w:rsidRPr="00907FCC">
        <w:t>enlighet med lag och föreskrifter</w:t>
      </w:r>
      <w:r>
        <w:t xml:space="preserve"> för tjänstepensionsföretag</w:t>
      </w:r>
      <w:r w:rsidRPr="00907FCC">
        <w:t>.</w:t>
      </w:r>
    </w:p>
    <w:p w14:paraId="4FE351C9" w14:textId="77777777" w:rsidR="006F1095" w:rsidRPr="00907FCC" w:rsidRDefault="006F1095" w:rsidP="007F683F">
      <w:pPr>
        <w:spacing w:line="276" w:lineRule="auto"/>
      </w:pPr>
    </w:p>
    <w:p w14:paraId="5EC56D0D" w14:textId="099D27F0" w:rsidR="006F1095" w:rsidRPr="00907FCC" w:rsidRDefault="00AC298F" w:rsidP="007F683F">
      <w:pPr>
        <w:spacing w:line="276" w:lineRule="auto"/>
      </w:pPr>
      <w:r>
        <w:t>F</w:t>
      </w:r>
      <w:r w:rsidR="006F1095" w:rsidRPr="00907FCC">
        <w:t xml:space="preserve">örsäkringstekniska riktlinjer, samt ändringar och avsteg, </w:t>
      </w:r>
      <w:r w:rsidR="0030141E">
        <w:t>beslutas</w:t>
      </w:r>
      <w:r w:rsidR="0030141E" w:rsidRPr="00907FCC">
        <w:t xml:space="preserve"> </w:t>
      </w:r>
      <w:r w:rsidR="006F1095" w:rsidRPr="00907FCC">
        <w:t xml:space="preserve">av styrelsen. Styrelsen ansvarar för att riktlinjerna följs och ska fortlöpande pröva om de behöver ändras. Aktuariefunktionen </w:t>
      </w:r>
      <w:r w:rsidR="003F7971">
        <w:t xml:space="preserve">ska </w:t>
      </w:r>
      <w:r w:rsidR="006F1095" w:rsidRPr="00907FCC">
        <w:t>ansvara</w:t>
      </w:r>
      <w:r w:rsidR="004E18BE">
        <w:t xml:space="preserve"> </w:t>
      </w:r>
      <w:r w:rsidR="006F1095" w:rsidRPr="00907FCC">
        <w:t>för att föreslå förändringar av riktlinjerna till styrelsen.</w:t>
      </w:r>
    </w:p>
    <w:p w14:paraId="56F56E2D" w14:textId="77777777" w:rsidR="006F1095" w:rsidRPr="00907FCC" w:rsidRDefault="006F1095" w:rsidP="007F683F">
      <w:pPr>
        <w:spacing w:line="276" w:lineRule="auto"/>
      </w:pPr>
      <w:r w:rsidRPr="00907FCC">
        <w:t xml:space="preserve"> </w:t>
      </w:r>
    </w:p>
    <w:p w14:paraId="2090A81D" w14:textId="4728B8E1" w:rsidR="006F1095" w:rsidRPr="00907FCC" w:rsidRDefault="00736B28" w:rsidP="007F683F">
      <w:pPr>
        <w:autoSpaceDE w:val="0"/>
        <w:autoSpaceDN w:val="0"/>
        <w:adjustRightInd w:val="0"/>
        <w:spacing w:line="276" w:lineRule="auto"/>
      </w:pPr>
      <w:r>
        <w:t>Företaget</w:t>
      </w:r>
      <w:r w:rsidR="006F1095" w:rsidRPr="00907FCC">
        <w:t xml:space="preserve"> </w:t>
      </w:r>
      <w:r w:rsidR="000E412B">
        <w:t>får</w:t>
      </w:r>
      <w:r w:rsidR="006F1095" w:rsidRPr="00907FCC">
        <w:t xml:space="preserve"> ändra försäkringstekniska riktlinjer även för redan tecknade försäkringar om ändringen inte strider mot för försäkringen gällande försäkringsvillkor. </w:t>
      </w:r>
    </w:p>
    <w:p w14:paraId="688E2C5C" w14:textId="77777777" w:rsidR="006F1095" w:rsidRPr="00907FCC" w:rsidRDefault="006F1095" w:rsidP="006F1095">
      <w:pPr>
        <w:autoSpaceDE w:val="0"/>
        <w:autoSpaceDN w:val="0"/>
        <w:adjustRightInd w:val="0"/>
      </w:pPr>
    </w:p>
    <w:p w14:paraId="4DC21CC8" w14:textId="66F39989" w:rsidR="002C023E" w:rsidRDefault="00736B28" w:rsidP="002C023E">
      <w:pPr>
        <w:spacing w:line="276" w:lineRule="auto"/>
      </w:pPr>
      <w:r>
        <w:t>Företaget</w:t>
      </w:r>
      <w:r w:rsidR="006F1095" w:rsidRPr="00907FCC">
        <w:t xml:space="preserve"> ska </w:t>
      </w:r>
      <w:r w:rsidR="003870CB">
        <w:t>upprätta</w:t>
      </w:r>
      <w:r w:rsidR="00BC1521" w:rsidRPr="00907FCC">
        <w:t xml:space="preserve"> </w:t>
      </w:r>
      <w:r w:rsidR="006F1095" w:rsidRPr="00907FCC">
        <w:t>ett försäkringstekniskt beräkningsunderlag som</w:t>
      </w:r>
      <w:r w:rsidR="00BC1521">
        <w:t xml:space="preserve"> kompletterar</w:t>
      </w:r>
      <w:r w:rsidR="00226FE5">
        <w:t xml:space="preserve"> </w:t>
      </w:r>
      <w:r w:rsidR="00BC1521">
        <w:t>riktlinjer</w:t>
      </w:r>
      <w:r w:rsidR="00CB4AD3">
        <w:t>na</w:t>
      </w:r>
      <w:r w:rsidR="00B77152">
        <w:t>.</w:t>
      </w:r>
      <w:r w:rsidR="006F1095" w:rsidRPr="00907FCC">
        <w:t xml:space="preserve"> </w:t>
      </w:r>
      <w:r w:rsidR="002C023E" w:rsidRPr="00907FCC">
        <w:t>Beräkningsunderlaget ska innehålla tillämpade</w:t>
      </w:r>
      <w:r w:rsidR="002C023E">
        <w:t xml:space="preserve"> beräkningsformler och</w:t>
      </w:r>
      <w:r w:rsidR="002C023E" w:rsidRPr="00907FCC">
        <w:t xml:space="preserve"> metoder, modeller, antaganden och expertbedömningar som används i de försäkringstekniska beräkningarna. Det försäkringstekniska beräkningsunderlaget ska innehålla ändringshistorik. Beräkningsunderlagets detaljnivå </w:t>
      </w:r>
      <w:r w:rsidR="002C023E">
        <w:t>får</w:t>
      </w:r>
      <w:r w:rsidR="002C023E" w:rsidRPr="00907FCC">
        <w:t xml:space="preserve"> anpassas med hänsyn till </w:t>
      </w:r>
      <w:r w:rsidR="002C023E">
        <w:t>företagets</w:t>
      </w:r>
      <w:r w:rsidR="002C023E" w:rsidRPr="00907FCC">
        <w:t xml:space="preserve"> verksamhet</w:t>
      </w:r>
      <w:r w:rsidR="002C023E">
        <w:t>.</w:t>
      </w:r>
    </w:p>
    <w:p w14:paraId="5558D606" w14:textId="77777777" w:rsidR="002C023E" w:rsidRPr="00907FCC" w:rsidRDefault="002C023E" w:rsidP="002C023E">
      <w:pPr>
        <w:spacing w:line="276" w:lineRule="auto"/>
      </w:pPr>
    </w:p>
    <w:p w14:paraId="3148BEBB" w14:textId="12F20001" w:rsidR="006F1095" w:rsidRPr="00907FCC" w:rsidRDefault="0039466F" w:rsidP="007F683F">
      <w:pPr>
        <w:spacing w:line="276" w:lineRule="auto"/>
      </w:pPr>
      <w:r>
        <w:t>F</w:t>
      </w:r>
      <w:r w:rsidR="006F1095" w:rsidRPr="00907FCC">
        <w:t xml:space="preserve">örsäkringstekniskt beräkningsunderlag </w:t>
      </w:r>
      <w:r>
        <w:t>ska beslutas</w:t>
      </w:r>
      <w:r w:rsidR="006F1095" w:rsidRPr="00907FCC">
        <w:t xml:space="preserve"> av </w:t>
      </w:r>
      <w:r w:rsidR="00736B28">
        <w:t>Företaget</w:t>
      </w:r>
      <w:r w:rsidR="006F1095" w:rsidRPr="00907FCC">
        <w:t xml:space="preserve">s </w:t>
      </w:r>
      <w:r w:rsidR="000D17E7">
        <w:t>verkställande direktör</w:t>
      </w:r>
      <w:r w:rsidR="00296B20">
        <w:t xml:space="preserve"> (</w:t>
      </w:r>
      <w:r w:rsidR="006F1095" w:rsidRPr="00907FCC">
        <w:t>vd</w:t>
      </w:r>
      <w:r w:rsidR="00296B20">
        <w:t>)</w:t>
      </w:r>
      <w:r w:rsidR="006F1095" w:rsidRPr="00907FCC">
        <w:t xml:space="preserve"> efter förslag av chefsaktuarien. Aktuariefunktionen ska beredas möjlighet att yttra sig över förslaget innan beslut fattas. Chefsaktuarien </w:t>
      </w:r>
      <w:r w:rsidR="00F52D2D">
        <w:t xml:space="preserve">ska </w:t>
      </w:r>
      <w:r w:rsidR="006F1095" w:rsidRPr="00907FCC">
        <w:t>ansvara</w:t>
      </w:r>
      <w:r w:rsidR="00D67178">
        <w:t xml:space="preserve"> </w:t>
      </w:r>
      <w:r w:rsidR="006F1095" w:rsidRPr="00907FCC">
        <w:t xml:space="preserve">för uppföljning av det försäkringstekniska beräkningsunderlaget, samt för att underlagen är kompletta. </w:t>
      </w:r>
    </w:p>
    <w:p w14:paraId="4EC9E8B2" w14:textId="77777777" w:rsidR="006F1095" w:rsidRDefault="006F1095" w:rsidP="006F1095">
      <w:pPr>
        <w:pStyle w:val="Brdtext"/>
      </w:pPr>
    </w:p>
    <w:p w14:paraId="54792979" w14:textId="6CF6C60A" w:rsidR="005B2C04" w:rsidRPr="00907FCC" w:rsidRDefault="005B2C04" w:rsidP="005B2C04">
      <w:pPr>
        <w:autoSpaceDE w:val="0"/>
        <w:autoSpaceDN w:val="0"/>
        <w:adjustRightInd w:val="0"/>
        <w:spacing w:line="276" w:lineRule="auto"/>
      </w:pPr>
      <w:r>
        <w:t>Försäkringstekniska r</w:t>
      </w:r>
      <w:r w:rsidRPr="00907FCC">
        <w:t xml:space="preserve">iktlinjer, </w:t>
      </w:r>
      <w:r>
        <w:t xml:space="preserve">försäkringstekniskt </w:t>
      </w:r>
      <w:r w:rsidRPr="00907FCC">
        <w:t xml:space="preserve">beräkningsunderlag samt försäkringsvillkor gäller </w:t>
      </w:r>
      <w:r w:rsidR="00F52D2D">
        <w:t>sammantaget</w:t>
      </w:r>
      <w:r w:rsidRPr="00907FCC">
        <w:t xml:space="preserve"> för försäkringen.</w:t>
      </w:r>
    </w:p>
    <w:p w14:paraId="16F6255F" w14:textId="77777777" w:rsidR="005B2C04" w:rsidRPr="00907FCC" w:rsidRDefault="005B2C04" w:rsidP="006F1095">
      <w:pPr>
        <w:pStyle w:val="Brdtext"/>
      </w:pPr>
    </w:p>
    <w:p w14:paraId="32F0C98F" w14:textId="39F8275B" w:rsidR="006F1095" w:rsidRPr="00907FCC" w:rsidRDefault="006F1095" w:rsidP="007F683F">
      <w:pPr>
        <w:spacing w:line="276" w:lineRule="auto"/>
      </w:pPr>
      <w:r w:rsidRPr="00907FCC">
        <w:t xml:space="preserve">Antaganden som ligger till grund för de olika försäkringstekniska beräkningarna och utredningarna ska i första hand bygga på </w:t>
      </w:r>
      <w:r w:rsidR="00736B28">
        <w:t>Företaget</w:t>
      </w:r>
      <w:r w:rsidRPr="00907FCC">
        <w:t xml:space="preserve">s egen erfarenhet så långt det är möjligt och data anses som tillförlitligt för sitt ändamål. Vid otillräckligt </w:t>
      </w:r>
      <w:r w:rsidRPr="004F47F3">
        <w:t xml:space="preserve">data </w:t>
      </w:r>
      <w:r w:rsidR="00BC49AB" w:rsidRPr="004F47F3">
        <w:t xml:space="preserve">får </w:t>
      </w:r>
      <w:r w:rsidRPr="00907FCC">
        <w:t xml:space="preserve">information inhämtas från försäkringsbranschen eller annan officiell statistik som stöd vid fastställande av antaganden. </w:t>
      </w:r>
    </w:p>
    <w:p w14:paraId="5A714512" w14:textId="77777777" w:rsidR="006F1095" w:rsidRPr="00907FCC" w:rsidRDefault="006F1095" w:rsidP="007F683F">
      <w:pPr>
        <w:spacing w:line="276" w:lineRule="auto"/>
      </w:pPr>
    </w:p>
    <w:p w14:paraId="4673A060" w14:textId="74C6A7C4" w:rsidR="006F1095" w:rsidRPr="00907FCC" w:rsidRDefault="006F1095" w:rsidP="007F683F">
      <w:pPr>
        <w:spacing w:line="276" w:lineRule="auto"/>
      </w:pPr>
      <w:r w:rsidRPr="00907FCC">
        <w:lastRenderedPageBreak/>
        <w:t>En uppföljning av samtliga antaganden</w:t>
      </w:r>
      <w:r w:rsidR="00CC0AE0">
        <w:t xml:space="preserve"> </w:t>
      </w:r>
      <w:r w:rsidR="009525A0">
        <w:t>avseende</w:t>
      </w:r>
      <w:r w:rsidR="00CC0AE0">
        <w:t xml:space="preserve"> försäkringstekniska avsättningar, premiesättning samt överskottshantering</w:t>
      </w:r>
      <w:r w:rsidRPr="00907FCC">
        <w:t xml:space="preserve"> ska ske när så erfordras</w:t>
      </w:r>
      <w:r w:rsidR="003469F3">
        <w:t>,</w:t>
      </w:r>
      <w:r w:rsidRPr="00907FCC">
        <w:t xml:space="preserve"> dock minst vart femte år. Chefsaktuarien </w:t>
      </w:r>
      <w:r w:rsidR="0029518E">
        <w:t xml:space="preserve">ska </w:t>
      </w:r>
      <w:r w:rsidRPr="00907FCC">
        <w:t xml:space="preserve">ansvara för uppföljningen. Aktuariefunktionen </w:t>
      </w:r>
      <w:r w:rsidR="0029518E">
        <w:t xml:space="preserve">ska </w:t>
      </w:r>
      <w:r w:rsidRPr="00907FCC">
        <w:t>kontrollera uppföljningen och rapportera till vd och styrelsen. Antaganden som varaktigt bedöms som felaktiga ska justeras.</w:t>
      </w:r>
    </w:p>
    <w:p w14:paraId="5CDC5EBC" w14:textId="77777777" w:rsidR="006F1095" w:rsidRPr="00907FCC" w:rsidRDefault="006F1095" w:rsidP="006F1095"/>
    <w:p w14:paraId="326EE520" w14:textId="269B55FC" w:rsidR="00814075" w:rsidRDefault="006F1095" w:rsidP="002F0901">
      <w:pPr>
        <w:pStyle w:val="Rubrik1"/>
      </w:pPr>
      <w:bookmarkStart w:id="1" w:name="_Toc229997310"/>
      <w:r>
        <w:t>Verksamhet</w:t>
      </w:r>
      <w:bookmarkEnd w:id="1"/>
    </w:p>
    <w:p w14:paraId="18807B6E" w14:textId="77777777" w:rsidR="006F1095" w:rsidRPr="006F1095" w:rsidRDefault="006F1095" w:rsidP="006F1095"/>
    <w:p w14:paraId="256E5C5F" w14:textId="2CF4C55F" w:rsidR="00983B3B" w:rsidRPr="00A05357" w:rsidRDefault="00736B28" w:rsidP="007F683F">
      <w:pPr>
        <w:pStyle w:val="Brdtext"/>
        <w:spacing w:line="276" w:lineRule="auto"/>
      </w:pPr>
      <w:r>
        <w:t>Företaget</w:t>
      </w:r>
      <w:r w:rsidR="00983B3B">
        <w:t xml:space="preserve"> </w:t>
      </w:r>
      <w:r w:rsidR="003F00A8">
        <w:t>bedriver</w:t>
      </w:r>
      <w:r w:rsidR="00580F72" w:rsidRPr="00A05357">
        <w:t xml:space="preserve"> </w:t>
      </w:r>
      <w:r w:rsidR="00983B3B" w:rsidRPr="00A05357">
        <w:t>följande</w:t>
      </w:r>
      <w:r w:rsidR="00983B3B">
        <w:t xml:space="preserve"> </w:t>
      </w:r>
      <w:r w:rsidR="00983B3B" w:rsidRPr="00A05357">
        <w:t>verksamhet</w:t>
      </w:r>
      <w:r w:rsidR="004B006D">
        <w:t xml:space="preserve"> </w:t>
      </w:r>
      <w:r w:rsidR="00511537">
        <w:t>(försäkringsklass)</w:t>
      </w:r>
      <w:r w:rsidR="00FF22D6">
        <w:t>:</w:t>
      </w:r>
    </w:p>
    <w:p w14:paraId="7882E27D" w14:textId="0B043A6B" w:rsidR="00983B3B" w:rsidRDefault="00983B3B" w:rsidP="007F683F">
      <w:pPr>
        <w:pStyle w:val="Brdtext"/>
        <w:numPr>
          <w:ilvl w:val="0"/>
          <w:numId w:val="14"/>
        </w:numPr>
        <w:spacing w:after="0" w:line="276" w:lineRule="auto"/>
      </w:pPr>
      <w:r w:rsidRPr="00A05357">
        <w:t xml:space="preserve">Traditionell </w:t>
      </w:r>
      <w:r>
        <w:t>försäkring</w:t>
      </w:r>
      <w:r w:rsidR="00F45369">
        <w:t xml:space="preserve"> </w:t>
      </w:r>
      <w:r w:rsidR="00FE1FE0">
        <w:t>(</w:t>
      </w:r>
      <w:r w:rsidR="000E32B6">
        <w:t>I</w:t>
      </w:r>
      <w:r w:rsidR="00FE1FE0">
        <w:t>a)</w:t>
      </w:r>
    </w:p>
    <w:p w14:paraId="1CABAF86" w14:textId="4126E110" w:rsidR="00262651" w:rsidRDefault="00262651" w:rsidP="007F683F">
      <w:pPr>
        <w:pStyle w:val="Brdtext"/>
        <w:numPr>
          <w:ilvl w:val="1"/>
          <w:numId w:val="14"/>
        </w:numPr>
        <w:spacing w:after="0" w:line="276" w:lineRule="auto"/>
      </w:pPr>
      <w:r>
        <w:t>Förmånsbestämd försäkring</w:t>
      </w:r>
    </w:p>
    <w:p w14:paraId="70034970" w14:textId="39C5794D" w:rsidR="00262651" w:rsidRDefault="00262651" w:rsidP="007F683F">
      <w:pPr>
        <w:pStyle w:val="Brdtext"/>
        <w:numPr>
          <w:ilvl w:val="1"/>
          <w:numId w:val="14"/>
        </w:numPr>
        <w:spacing w:after="0" w:line="276" w:lineRule="auto"/>
      </w:pPr>
      <w:r>
        <w:t>Premiebestämd försäkring</w:t>
      </w:r>
    </w:p>
    <w:p w14:paraId="073ECE7A" w14:textId="041EFAAD" w:rsidR="00983B3B" w:rsidRPr="00A05357" w:rsidRDefault="009606AA" w:rsidP="007F683F">
      <w:pPr>
        <w:pStyle w:val="Brdtext"/>
        <w:numPr>
          <w:ilvl w:val="0"/>
          <w:numId w:val="14"/>
        </w:numPr>
        <w:spacing w:after="0" w:line="276" w:lineRule="auto"/>
      </w:pPr>
      <w:r>
        <w:t>K</w:t>
      </w:r>
      <w:r w:rsidR="00983B3B" w:rsidRPr="00A05357">
        <w:t>ollektiv riskförsäkring</w:t>
      </w:r>
      <w:r w:rsidR="00C15942">
        <w:t xml:space="preserve"> </w:t>
      </w:r>
      <w:r w:rsidR="00FE1FE0">
        <w:t>(</w:t>
      </w:r>
      <w:r w:rsidR="00CE4C0C">
        <w:t xml:space="preserve">Ia </w:t>
      </w:r>
      <w:r w:rsidR="00FE1FE0">
        <w:t xml:space="preserve">och </w:t>
      </w:r>
      <w:r w:rsidR="00CE4C0C">
        <w:t>Ib</w:t>
      </w:r>
      <w:r w:rsidR="00FE1FE0">
        <w:t>)</w:t>
      </w:r>
    </w:p>
    <w:p w14:paraId="0F83DF83" w14:textId="77777777" w:rsidR="00983B3B" w:rsidRPr="00A05357" w:rsidRDefault="00983B3B" w:rsidP="00983B3B">
      <w:pPr>
        <w:pStyle w:val="Brdtext"/>
      </w:pPr>
    </w:p>
    <w:p w14:paraId="2DC1940A" w14:textId="6F446F16" w:rsidR="00983B3B" w:rsidRPr="0089225A" w:rsidRDefault="00983B3B" w:rsidP="00500247">
      <w:pPr>
        <w:rPr>
          <w:sz w:val="24"/>
        </w:rPr>
      </w:pPr>
      <w:bookmarkStart w:id="2" w:name="_Toc98858330"/>
      <w:r w:rsidRPr="00500247">
        <w:rPr>
          <w:b/>
          <w:color w:val="00B0F0"/>
        </w:rPr>
        <w:t>Traditionell försäkring</w:t>
      </w:r>
      <w:bookmarkEnd w:id="2"/>
      <w:r w:rsidRPr="00500247">
        <w:rPr>
          <w:b/>
          <w:color w:val="00B0F0"/>
        </w:rPr>
        <w:t xml:space="preserve"> </w:t>
      </w:r>
    </w:p>
    <w:p w14:paraId="64B3DB4F" w14:textId="0467F25F" w:rsidR="002548D6" w:rsidRPr="00A05357" w:rsidRDefault="002548D6" w:rsidP="002548D6">
      <w:pPr>
        <w:pStyle w:val="Brdtext"/>
      </w:pPr>
      <w:r>
        <w:t xml:space="preserve">Förmånsbestämd försäkring omfattar </w:t>
      </w:r>
      <w:r w:rsidR="006106DB">
        <w:t>utöver</w:t>
      </w:r>
      <w:r>
        <w:t xml:space="preserve"> ålderspension </w:t>
      </w:r>
      <w:r w:rsidR="006106DB">
        <w:t>även</w:t>
      </w:r>
      <w:r>
        <w:t xml:space="preserve"> familje</w:t>
      </w:r>
      <w:r w:rsidR="006106DB">
        <w:t>- och barn</w:t>
      </w:r>
      <w:r>
        <w:t>pension.</w:t>
      </w:r>
    </w:p>
    <w:p w14:paraId="4FEC1B3E" w14:textId="670D8974" w:rsidR="0003344E" w:rsidRDefault="004435E2" w:rsidP="00983B3B">
      <w:pPr>
        <w:pStyle w:val="Brdtext"/>
      </w:pPr>
      <w:r>
        <w:t>P</w:t>
      </w:r>
      <w:r w:rsidR="00096A42">
        <w:t xml:space="preserve">remiebestämd </w:t>
      </w:r>
      <w:r w:rsidR="00983B3B" w:rsidRPr="00A05357">
        <w:t xml:space="preserve">försäkring </w:t>
      </w:r>
      <w:r w:rsidR="00801E4B">
        <w:t>om</w:t>
      </w:r>
      <w:r w:rsidR="001920BF" w:rsidRPr="00A05357">
        <w:t xml:space="preserve">fattar </w:t>
      </w:r>
      <w:r w:rsidR="00E2249A">
        <w:t>såväl</w:t>
      </w:r>
      <w:r w:rsidR="00FF6412">
        <w:t xml:space="preserve"> </w:t>
      </w:r>
      <w:r w:rsidR="00847C1C">
        <w:t xml:space="preserve">kollektivavtalad </w:t>
      </w:r>
      <w:r w:rsidR="00FF6412">
        <w:t>försäkring</w:t>
      </w:r>
      <w:r w:rsidR="00983B3B">
        <w:t xml:space="preserve"> </w:t>
      </w:r>
      <w:r w:rsidR="00096A42">
        <w:t>som</w:t>
      </w:r>
      <w:r w:rsidR="00983B3B" w:rsidRPr="00A05357">
        <w:t xml:space="preserve"> </w:t>
      </w:r>
      <w:r w:rsidR="00847C1C" w:rsidRPr="00A05357">
        <w:t xml:space="preserve">individuell </w:t>
      </w:r>
      <w:r w:rsidR="00983B3B" w:rsidRPr="00A05357">
        <w:t>försäkring</w:t>
      </w:r>
      <w:r w:rsidR="00FF6412">
        <w:t>.</w:t>
      </w:r>
      <w:r w:rsidR="00E360D2">
        <w:t xml:space="preserve"> </w:t>
      </w:r>
      <w:r w:rsidR="0045463D">
        <w:t>Med individuell försäkring avses icke kollektivavtalad försäkring.</w:t>
      </w:r>
    </w:p>
    <w:p w14:paraId="0BE44209" w14:textId="1BD2F8E4" w:rsidR="00FD37BB" w:rsidRDefault="00F7584B" w:rsidP="00983B3B">
      <w:pPr>
        <w:pStyle w:val="Brdtext"/>
      </w:pPr>
      <w:r>
        <w:t>Premiebestämd försäkring finns i två former</w:t>
      </w:r>
      <w:r w:rsidR="0006425A">
        <w:t>:</w:t>
      </w:r>
      <w:r w:rsidR="007776A4">
        <w:t xml:space="preserve"> </w:t>
      </w:r>
    </w:p>
    <w:p w14:paraId="1FFD0B18" w14:textId="6C6A9FFF" w:rsidR="00F7584B" w:rsidRDefault="00A2735F" w:rsidP="000E26F0">
      <w:pPr>
        <w:pStyle w:val="Brdtext"/>
        <w:numPr>
          <w:ilvl w:val="0"/>
          <w:numId w:val="46"/>
        </w:numPr>
        <w:spacing w:line="276" w:lineRule="auto"/>
      </w:pPr>
      <w:r>
        <w:t>f</w:t>
      </w:r>
      <w:r w:rsidR="007776A4">
        <w:t>örsäkring</w:t>
      </w:r>
      <w:r w:rsidR="006B1432">
        <w:t xml:space="preserve"> med avkastningsgara</w:t>
      </w:r>
      <w:r w:rsidR="0021721E">
        <w:t>n</w:t>
      </w:r>
      <w:r w:rsidR="006B1432">
        <w:t>ti</w:t>
      </w:r>
      <w:r w:rsidR="007776A4">
        <w:t xml:space="preserve"> där avtalad förmån beräknas vid premiebetalning</w:t>
      </w:r>
      <w:r w:rsidR="00FD37BB">
        <w:t xml:space="preserve"> </w:t>
      </w:r>
    </w:p>
    <w:p w14:paraId="006834AA" w14:textId="0DAC2D07" w:rsidR="002526AD" w:rsidRDefault="00A2735F" w:rsidP="000E26F0">
      <w:pPr>
        <w:pStyle w:val="Liststycke"/>
        <w:numPr>
          <w:ilvl w:val="0"/>
          <w:numId w:val="46"/>
        </w:numPr>
        <w:autoSpaceDE w:val="0"/>
        <w:autoSpaceDN w:val="0"/>
        <w:adjustRightInd w:val="0"/>
        <w:spacing w:line="276" w:lineRule="auto"/>
      </w:pPr>
      <w:r>
        <w:t>f</w:t>
      </w:r>
      <w:r w:rsidR="002526AD" w:rsidRPr="00A05357">
        <w:t xml:space="preserve">örsäkring med premiegaranti där </w:t>
      </w:r>
      <w:r w:rsidR="00B45D27">
        <w:t>s</w:t>
      </w:r>
      <w:r w:rsidR="002526AD" w:rsidRPr="00A05357">
        <w:t xml:space="preserve">umman av de förväntade utbetalningarna </w:t>
      </w:r>
      <w:r w:rsidR="002526AD" w:rsidRPr="00E3365F">
        <w:t xml:space="preserve">minst </w:t>
      </w:r>
      <w:r w:rsidR="00B45D27">
        <w:t xml:space="preserve">ska </w:t>
      </w:r>
      <w:r w:rsidR="002526AD" w:rsidRPr="00E3365F">
        <w:t xml:space="preserve">motsvara inbetalda premier med hänsyn till gällande belastning enligt avtal. </w:t>
      </w:r>
    </w:p>
    <w:p w14:paraId="45372B9D" w14:textId="2E167133" w:rsidR="002837EF" w:rsidRPr="00A05357" w:rsidRDefault="002837EF" w:rsidP="002310A4">
      <w:pPr>
        <w:autoSpaceDE w:val="0"/>
        <w:autoSpaceDN w:val="0"/>
        <w:adjustRightInd w:val="0"/>
      </w:pPr>
    </w:p>
    <w:p w14:paraId="1DDF5F75" w14:textId="77777777" w:rsidR="001F4EF9" w:rsidRDefault="001F4EF9" w:rsidP="001F4EF9">
      <w:pPr>
        <w:autoSpaceDE w:val="0"/>
        <w:autoSpaceDN w:val="0"/>
        <w:adjustRightInd w:val="0"/>
      </w:pPr>
      <w:bookmarkStart w:id="3" w:name="_Toc98858332"/>
    </w:p>
    <w:p w14:paraId="222FA9E0" w14:textId="584E4EF1" w:rsidR="00983B3B" w:rsidRPr="001F4EF9" w:rsidRDefault="009606AA" w:rsidP="001F4EF9">
      <w:pPr>
        <w:rPr>
          <w:b/>
          <w:color w:val="00B0F0"/>
        </w:rPr>
      </w:pPr>
      <w:r>
        <w:rPr>
          <w:b/>
          <w:color w:val="00B0F0"/>
        </w:rPr>
        <w:t>K</w:t>
      </w:r>
      <w:r w:rsidR="00983B3B" w:rsidRPr="001F4EF9">
        <w:rPr>
          <w:b/>
          <w:color w:val="00B0F0"/>
        </w:rPr>
        <w:t>ollektiv riskförsäkring</w:t>
      </w:r>
      <w:bookmarkEnd w:id="3"/>
    </w:p>
    <w:p w14:paraId="1994C38E" w14:textId="566554D7" w:rsidR="00983B3B" w:rsidRDefault="009606AA" w:rsidP="007F683F">
      <w:pPr>
        <w:pStyle w:val="Brdtext"/>
        <w:spacing w:line="276" w:lineRule="auto"/>
      </w:pPr>
      <w:r>
        <w:t>K</w:t>
      </w:r>
      <w:r w:rsidR="00983B3B" w:rsidRPr="00A05357">
        <w:t xml:space="preserve">ollektiv riskförsäkring förekommer inom ramen för kollektivavtalad tjänstepension och </w:t>
      </w:r>
      <w:r w:rsidR="00107069">
        <w:t>om</w:t>
      </w:r>
      <w:r w:rsidR="00983B3B" w:rsidRPr="00A05357">
        <w:t>fattar</w:t>
      </w:r>
      <w:r w:rsidR="00DB5155">
        <w:t xml:space="preserve"> </w:t>
      </w:r>
      <w:r w:rsidR="00080676">
        <w:t>produkter</w:t>
      </w:r>
      <w:r w:rsidR="00DB5155">
        <w:t xml:space="preserve"> som</w:t>
      </w:r>
      <w:r w:rsidR="00983B3B" w:rsidRPr="00A05357">
        <w:t xml:space="preserve"> livsfalls</w:t>
      </w:r>
      <w:r w:rsidR="000950A2">
        <w:t>försäkring i form av slut</w:t>
      </w:r>
      <w:r w:rsidR="006F7094">
        <w:t>betalning</w:t>
      </w:r>
      <w:r w:rsidR="00983B3B" w:rsidRPr="00A05357">
        <w:t xml:space="preserve"> </w:t>
      </w:r>
      <w:r w:rsidR="00EB4748">
        <w:t>och</w:t>
      </w:r>
      <w:r w:rsidR="00EB4748" w:rsidRPr="00A05357">
        <w:t xml:space="preserve"> </w:t>
      </w:r>
      <w:r w:rsidR="00983B3B" w:rsidRPr="00A05357">
        <w:t>dödsfallsförsäkring</w:t>
      </w:r>
      <w:r w:rsidR="006F7094">
        <w:t xml:space="preserve"> i form av familjeskydd</w:t>
      </w:r>
      <w:r w:rsidR="00983B3B" w:rsidRPr="00A05357">
        <w:t xml:space="preserve">. Premien fastställs för ett år i taget. </w:t>
      </w:r>
    </w:p>
    <w:p w14:paraId="119F2742" w14:textId="77777777" w:rsidR="004813A2" w:rsidRPr="00A05357" w:rsidRDefault="004813A2" w:rsidP="00983B3B">
      <w:pPr>
        <w:pStyle w:val="Brdtext"/>
      </w:pPr>
    </w:p>
    <w:p w14:paraId="6381B15A" w14:textId="77777777" w:rsidR="006B371E" w:rsidRDefault="006B371E" w:rsidP="00BB5416"/>
    <w:p w14:paraId="6A6C107E" w14:textId="382A5199" w:rsidR="00D564FA" w:rsidRPr="009131D5" w:rsidRDefault="004813A2" w:rsidP="002F0901">
      <w:pPr>
        <w:pStyle w:val="Rubrik1"/>
      </w:pPr>
      <w:bookmarkStart w:id="4" w:name="_Toc229997311"/>
      <w:r>
        <w:t>Gemensamma riktlinjer</w:t>
      </w:r>
      <w:bookmarkEnd w:id="4"/>
    </w:p>
    <w:p w14:paraId="6CB2158B" w14:textId="77777777" w:rsidR="002A3C35" w:rsidRDefault="002A3C35" w:rsidP="002A3C35">
      <w:pPr>
        <w:pStyle w:val="Brdtext"/>
      </w:pPr>
    </w:p>
    <w:p w14:paraId="06F15B54" w14:textId="2A55FD34" w:rsidR="002A3C35" w:rsidRPr="00D421CF" w:rsidRDefault="00AE2588" w:rsidP="007F683F">
      <w:pPr>
        <w:pStyle w:val="Brdtext"/>
        <w:spacing w:line="276" w:lineRule="auto"/>
      </w:pPr>
      <w:r>
        <w:t>Samtliga f</w:t>
      </w:r>
      <w:r w:rsidR="002A3C35" w:rsidRPr="00D421CF">
        <w:t xml:space="preserve">örsäkringsavtal i </w:t>
      </w:r>
      <w:r w:rsidR="00736B28">
        <w:t>Företaget</w:t>
      </w:r>
      <w:r w:rsidR="002A3C35" w:rsidRPr="00D421CF">
        <w:t xml:space="preserve"> medför rätt till överskott</w:t>
      </w:r>
      <w:r w:rsidR="00630099">
        <w:t>.</w:t>
      </w:r>
    </w:p>
    <w:p w14:paraId="3C0D63C6" w14:textId="5645261B" w:rsidR="002A3C35" w:rsidRDefault="00736B28" w:rsidP="007F683F">
      <w:pPr>
        <w:pStyle w:val="Brdtext"/>
        <w:spacing w:line="276" w:lineRule="auto"/>
      </w:pPr>
      <w:r>
        <w:t>Företaget</w:t>
      </w:r>
      <w:r w:rsidR="002A3C35" w:rsidRPr="00907FCC">
        <w:t xml:space="preserve"> </w:t>
      </w:r>
      <w:r w:rsidR="002A3C35">
        <w:t xml:space="preserve">ska </w:t>
      </w:r>
      <w:r w:rsidR="002A3C35" w:rsidRPr="00907FCC">
        <w:t>tillämpa en indelning</w:t>
      </w:r>
      <w:r w:rsidR="002A3C35">
        <w:t xml:space="preserve"> av produkter</w:t>
      </w:r>
      <w:r w:rsidR="002A3C35" w:rsidRPr="00907FCC">
        <w:t xml:space="preserve"> i försäkringsgrenar och verksamhetsgrenar</w:t>
      </w:r>
      <w:r w:rsidR="002A3C35">
        <w:t xml:space="preserve"> där varje verksamhetsgren med rätt till överskott har </w:t>
      </w:r>
      <w:r w:rsidR="002A3C35">
        <w:lastRenderedPageBreak/>
        <w:t xml:space="preserve">en egen andel av konsolideringsfonden. Indelning i verksamhetsgrenar </w:t>
      </w:r>
      <w:r w:rsidR="00C81104">
        <w:t xml:space="preserve">ska </w:t>
      </w:r>
      <w:r w:rsidR="002A3C35">
        <w:t>beslutas av vd.</w:t>
      </w:r>
    </w:p>
    <w:p w14:paraId="657EA3AB" w14:textId="4246D4B5" w:rsidR="002A3C35" w:rsidRDefault="002A3C35" w:rsidP="00036151">
      <w:pPr>
        <w:pStyle w:val="Brdtext"/>
        <w:spacing w:after="0" w:line="276" w:lineRule="auto"/>
      </w:pPr>
      <w:r w:rsidRPr="00907FCC">
        <w:t>Vid indelning i verksamhetsgrenar</w:t>
      </w:r>
      <w:r w:rsidR="00A56CEE">
        <w:t xml:space="preserve"> ska</w:t>
      </w:r>
      <w:r w:rsidRPr="00907FCC">
        <w:t xml:space="preserve"> hänsyn</w:t>
      </w:r>
      <w:r w:rsidR="00A56CEE">
        <w:t xml:space="preserve"> tas</w:t>
      </w:r>
      <w:r w:rsidR="006878D5">
        <w:t xml:space="preserve"> </w:t>
      </w:r>
      <w:r w:rsidRPr="00907FCC">
        <w:t xml:space="preserve">till </w:t>
      </w:r>
      <w:r w:rsidR="00E509A1">
        <w:t>försäkrings</w:t>
      </w:r>
      <w:r w:rsidRPr="00907FCC">
        <w:t>villkor och lagkrav</w:t>
      </w:r>
      <w:r w:rsidR="006878D5">
        <w:t>.</w:t>
      </w:r>
      <w:r w:rsidR="00691058">
        <w:t xml:space="preserve"> </w:t>
      </w:r>
      <w:r w:rsidRPr="00907FCC">
        <w:t xml:space="preserve">För </w:t>
      </w:r>
      <w:r>
        <w:t>traditionell försäkring</w:t>
      </w:r>
      <w:r w:rsidRPr="00907FCC">
        <w:t xml:space="preserve"> bör hänsyn </w:t>
      </w:r>
      <w:r w:rsidR="00367F70">
        <w:t xml:space="preserve">även </w:t>
      </w:r>
      <w:r w:rsidRPr="00907FCC">
        <w:t xml:space="preserve">tas till olika kundkollektiv. En viktig faktor vid indelning i kundkollektiv är försäkringstid. </w:t>
      </w:r>
    </w:p>
    <w:p w14:paraId="4659BC0D" w14:textId="5510EB52" w:rsidR="002A3C35" w:rsidRPr="00907FCC" w:rsidRDefault="002A3C35" w:rsidP="007F683F">
      <w:pPr>
        <w:pStyle w:val="Brdtext"/>
        <w:spacing w:after="0" w:line="276" w:lineRule="auto"/>
        <w:ind w:left="360"/>
      </w:pPr>
    </w:p>
    <w:p w14:paraId="602553D7" w14:textId="1890D719" w:rsidR="002A3C35" w:rsidRPr="00907FCC" w:rsidRDefault="002A3C35" w:rsidP="007F683F">
      <w:pPr>
        <w:pStyle w:val="Brdtext"/>
        <w:spacing w:line="276" w:lineRule="auto"/>
      </w:pPr>
      <w:r w:rsidRPr="00907FCC">
        <w:t xml:space="preserve">Vid översyn av befintliga verksamhetsgrenar </w:t>
      </w:r>
      <w:r w:rsidR="00A70BAA">
        <w:t>ska</w:t>
      </w:r>
      <w:r w:rsidR="00A70BAA" w:rsidRPr="00907FCC">
        <w:t xml:space="preserve"> </w:t>
      </w:r>
      <w:r w:rsidRPr="00907FCC">
        <w:t>hänsyn tas till materialitet</w:t>
      </w:r>
      <w:r w:rsidR="00A70BAA">
        <w:t xml:space="preserve"> (väsentlighet)</w:t>
      </w:r>
      <w:r w:rsidRPr="00907FCC">
        <w:t>.</w:t>
      </w:r>
    </w:p>
    <w:p w14:paraId="0743C840" w14:textId="77777777" w:rsidR="000F01EB" w:rsidRPr="009131D5" w:rsidRDefault="000F01EB" w:rsidP="004B78C8"/>
    <w:p w14:paraId="1CC2ADBC" w14:textId="77777777" w:rsidR="000F01EB" w:rsidRPr="009131D5" w:rsidRDefault="000F01EB" w:rsidP="00BB5416"/>
    <w:p w14:paraId="7E385D17" w14:textId="0C94C3BF" w:rsidR="00820B19" w:rsidRPr="00907FCC" w:rsidRDefault="00820B19" w:rsidP="00820B19">
      <w:pPr>
        <w:pStyle w:val="Rubrik2"/>
      </w:pPr>
      <w:bookmarkStart w:id="5" w:name="_Toc229997312"/>
      <w:r w:rsidRPr="00907FCC">
        <w:t>P</w:t>
      </w:r>
      <w:r w:rsidR="00E54E28">
        <w:t>lan för återställande av solvensen</w:t>
      </w:r>
      <w:r w:rsidR="00F5769D">
        <w:t xml:space="preserve"> och p</w:t>
      </w:r>
      <w:r w:rsidRPr="00907FCC">
        <w:t>rinciper för hur soliditeten ska tillgodoses</w:t>
      </w:r>
      <w:bookmarkEnd w:id="5"/>
      <w:r w:rsidRPr="00907FCC">
        <w:t xml:space="preserve"> </w:t>
      </w:r>
    </w:p>
    <w:p w14:paraId="2B34A31B" w14:textId="200AF754" w:rsidR="000F01EB" w:rsidRPr="00131F1E" w:rsidRDefault="000F01EB" w:rsidP="00BB5416"/>
    <w:p w14:paraId="28EA0703" w14:textId="77777777" w:rsidR="00D5529C" w:rsidRDefault="00D5529C" w:rsidP="00427E8F">
      <w:pPr>
        <w:pStyle w:val="Rubrik3"/>
      </w:pPr>
    </w:p>
    <w:p w14:paraId="47534C08" w14:textId="325668A0" w:rsidR="00F5769D" w:rsidRDefault="00F5769D" w:rsidP="00F5769D">
      <w:pPr>
        <w:pStyle w:val="Rubrik2"/>
      </w:pPr>
      <w:bookmarkStart w:id="6" w:name="_Toc229997313"/>
      <w:r>
        <w:t xml:space="preserve">Regler </w:t>
      </w:r>
      <w:r w:rsidR="00B5563C">
        <w:t xml:space="preserve">för </w:t>
      </w:r>
      <w:r w:rsidR="007E2668">
        <w:t>fördelning och tilldelning av överskott samt</w:t>
      </w:r>
      <w:r>
        <w:t xml:space="preserve"> förlusttäckning</w:t>
      </w:r>
      <w:bookmarkEnd w:id="6"/>
    </w:p>
    <w:p w14:paraId="0BFEC189" w14:textId="77777777" w:rsidR="00F5769D" w:rsidRDefault="00F5769D" w:rsidP="00F5769D"/>
    <w:p w14:paraId="1A967706" w14:textId="77777777" w:rsidR="00785B45" w:rsidRPr="00500247" w:rsidRDefault="00785B45" w:rsidP="00785B45">
      <w:pPr>
        <w:rPr>
          <w:b/>
          <w:color w:val="00B0F0"/>
        </w:rPr>
      </w:pPr>
      <w:r w:rsidRPr="00500247">
        <w:rPr>
          <w:b/>
          <w:color w:val="00B0F0"/>
        </w:rPr>
        <w:t>Fördelning och tilldelning av överskott</w:t>
      </w:r>
    </w:p>
    <w:p w14:paraId="1960E8D0" w14:textId="61F05032" w:rsidR="00785B45" w:rsidRDefault="00785B45" w:rsidP="00785B45">
      <w:pPr>
        <w:spacing w:line="276" w:lineRule="auto"/>
      </w:pPr>
      <w:r w:rsidRPr="0066502D">
        <w:t>Fördelning och tilldelning av överskott ska följa kontributionsprincipen för avtal med rätt till överskott. För avtal tecknade före år 2000 gäller även skälighetsprincipen.</w:t>
      </w:r>
      <w:r w:rsidRPr="0074207F">
        <w:t xml:space="preserve"> </w:t>
      </w:r>
      <w:r>
        <w:t xml:space="preserve">Verksamhetsgrenarnas bidrag till överskottet </w:t>
      </w:r>
      <w:r w:rsidDel="003F7B7A">
        <w:t>ska</w:t>
      </w:r>
      <w:r>
        <w:t xml:space="preserve"> </w:t>
      </w:r>
      <w:r w:rsidR="003F7B7A">
        <w:t>ligg</w:t>
      </w:r>
      <w:r w:rsidR="003813DB">
        <w:t>a</w:t>
      </w:r>
      <w:r w:rsidR="003F7B7A">
        <w:t xml:space="preserve"> till grund för</w:t>
      </w:r>
      <w:r>
        <w:t xml:space="preserve"> fördelningen av överskottet. Inom varje verksamhetsgren ska fördelning av överskott mellan grupper och generationer av försäkringstagare vara skälig. Fördelningen ska i största möjliga utsträckning baseras på enskilda försäkringars bidrag till det samlade överskottet.  </w:t>
      </w:r>
    </w:p>
    <w:p w14:paraId="11B15D33" w14:textId="77777777" w:rsidR="000D3366" w:rsidRDefault="000D3366" w:rsidP="00785B45">
      <w:pPr>
        <w:spacing w:line="276" w:lineRule="auto"/>
      </w:pPr>
    </w:p>
    <w:p w14:paraId="61CDC610" w14:textId="559E2A6E" w:rsidR="00F21AAB" w:rsidRPr="00907FCC" w:rsidRDefault="00F21AAB" w:rsidP="00F21AAB">
      <w:pPr>
        <w:pStyle w:val="Brdtext"/>
        <w:spacing w:line="276" w:lineRule="auto"/>
      </w:pPr>
      <w:r>
        <w:t xml:space="preserve">Samtliga </w:t>
      </w:r>
      <w:r w:rsidR="00622718">
        <w:t xml:space="preserve">försäkringsavtal </w:t>
      </w:r>
      <w:r>
        <w:t>är återbäringsberättigade</w:t>
      </w:r>
      <w:r w:rsidR="00EB50FB">
        <w:t xml:space="preserve"> och har en andel i Företagets konsolideringsfond</w:t>
      </w:r>
      <w:r>
        <w:t>.</w:t>
      </w:r>
    </w:p>
    <w:p w14:paraId="36EAF989" w14:textId="7EEFDE9D" w:rsidR="00785B45" w:rsidRPr="0066502D" w:rsidRDefault="00785B45" w:rsidP="00785B45">
      <w:pPr>
        <w:pStyle w:val="Brdtext"/>
        <w:spacing w:line="276" w:lineRule="auto"/>
      </w:pPr>
      <w:r w:rsidRPr="0066502D">
        <w:t xml:space="preserve">Fördelat överskott utgör en del av </w:t>
      </w:r>
      <w:r>
        <w:t xml:space="preserve">företagets </w:t>
      </w:r>
      <w:r w:rsidRPr="0066502D">
        <w:t xml:space="preserve">riskkapital och är inte garanterat. Det innebär att eventuella framtida underskott </w:t>
      </w:r>
      <w:r w:rsidR="00A274D3">
        <w:t>får</w:t>
      </w:r>
      <w:r w:rsidR="00A274D3" w:rsidRPr="0066502D">
        <w:t xml:space="preserve"> </w:t>
      </w:r>
      <w:r w:rsidRPr="0066502D">
        <w:t xml:space="preserve">leda till att överskott reduceras. </w:t>
      </w:r>
    </w:p>
    <w:p w14:paraId="20CF9F7A" w14:textId="77777777" w:rsidR="001F4EF9" w:rsidRPr="001F4EF9" w:rsidRDefault="001F4EF9" w:rsidP="001F4EF9">
      <w:pPr>
        <w:spacing w:line="276" w:lineRule="auto"/>
        <w:rPr>
          <w:b/>
          <w:color w:val="00B0F0"/>
        </w:rPr>
      </w:pPr>
    </w:p>
    <w:p w14:paraId="18992A2B" w14:textId="70B47297" w:rsidR="00C4441E" w:rsidRPr="00500247" w:rsidRDefault="00515058" w:rsidP="001F4EF9">
      <w:pPr>
        <w:spacing w:line="276" w:lineRule="auto"/>
        <w:rPr>
          <w:b/>
          <w:color w:val="00B0F0"/>
        </w:rPr>
      </w:pPr>
      <w:r>
        <w:rPr>
          <w:b/>
          <w:color w:val="00B0F0"/>
        </w:rPr>
        <w:t>Ö</w:t>
      </w:r>
      <w:r w:rsidR="00C4441E" w:rsidRPr="00500247">
        <w:rPr>
          <w:b/>
          <w:color w:val="00B0F0"/>
        </w:rPr>
        <w:t xml:space="preserve">verföring av resultat i enskild verksamhetsgren </w:t>
      </w:r>
    </w:p>
    <w:p w14:paraId="0BE2017E" w14:textId="3A7C83B2" w:rsidR="007772ED" w:rsidRPr="00907FCC" w:rsidRDefault="007772ED" w:rsidP="00D44074">
      <w:pPr>
        <w:pStyle w:val="Brdtext"/>
        <w:spacing w:line="276" w:lineRule="auto"/>
      </w:pPr>
      <w:r w:rsidRPr="00907FCC">
        <w:t xml:space="preserve">Om en verksamhetsgren inte kan täcka egna förluster genom reduktion av verksamhetsgrenens </w:t>
      </w:r>
      <w:r w:rsidR="00071126" w:rsidRPr="00907FCC">
        <w:t>egen</w:t>
      </w:r>
      <w:r w:rsidRPr="00907FCC">
        <w:t xml:space="preserve"> andel i konsolideringsfonden ska lån </w:t>
      </w:r>
      <w:r w:rsidR="006A1528">
        <w:t>tas</w:t>
      </w:r>
      <w:r w:rsidR="006A1528" w:rsidRPr="00907FCC">
        <w:t xml:space="preserve"> </w:t>
      </w:r>
      <w:r w:rsidRPr="00907FCC">
        <w:t>från andra verksamhetsgrenar (interna förlagslån).</w:t>
      </w:r>
      <w:r w:rsidRPr="0047209A">
        <w:t xml:space="preserve"> </w:t>
      </w:r>
      <w:r>
        <w:t>Verksamhetsgrenar lånar i första hand av andra verksamhetsgrenar inom samma försäkringsgren.</w:t>
      </w:r>
    </w:p>
    <w:p w14:paraId="34BBE8C7" w14:textId="77777777" w:rsidR="007772ED" w:rsidRPr="00907FCC" w:rsidRDefault="007772ED" w:rsidP="00D44074">
      <w:pPr>
        <w:spacing w:line="276" w:lineRule="auto"/>
      </w:pPr>
      <w:r w:rsidRPr="00907FCC">
        <w:t xml:space="preserve">Ränta på lånet utgörs av Stibor 3 månader + 2 procentenheter.   </w:t>
      </w:r>
    </w:p>
    <w:p w14:paraId="27DDDC62" w14:textId="77777777" w:rsidR="007772ED" w:rsidRPr="00907FCC" w:rsidRDefault="007772ED" w:rsidP="00D44074">
      <w:pPr>
        <w:spacing w:line="276" w:lineRule="auto"/>
      </w:pPr>
    </w:p>
    <w:p w14:paraId="055C5706" w14:textId="3120CB10" w:rsidR="007772ED" w:rsidRPr="00907FCC" w:rsidRDefault="007772ED" w:rsidP="00D44074">
      <w:pPr>
        <w:spacing w:line="276" w:lineRule="auto"/>
      </w:pPr>
      <w:r w:rsidRPr="00907FCC">
        <w:lastRenderedPageBreak/>
        <w:t xml:space="preserve">Strävan för verksamhetsgren med lån ska vara att så snart överskott uppstått i grenen låta detta överskott utgöra amortering av lånet. </w:t>
      </w:r>
    </w:p>
    <w:p w14:paraId="4283363B" w14:textId="77777777" w:rsidR="007772ED" w:rsidRPr="00907FCC" w:rsidRDefault="007772ED" w:rsidP="00D44074">
      <w:pPr>
        <w:pStyle w:val="Liststycke1"/>
        <w:spacing w:line="276" w:lineRule="auto"/>
        <w:rPr>
          <w:szCs w:val="22"/>
        </w:rPr>
      </w:pPr>
    </w:p>
    <w:p w14:paraId="3EC43FFD" w14:textId="6EA8755B" w:rsidR="007772ED" w:rsidRPr="00907FCC" w:rsidRDefault="007772ED" w:rsidP="00D44074">
      <w:pPr>
        <w:spacing w:line="276" w:lineRule="auto"/>
      </w:pPr>
      <w:r w:rsidRPr="00907FCC">
        <w:t xml:space="preserve">Om förlusterna </w:t>
      </w:r>
      <w:r>
        <w:t>i</w:t>
      </w:r>
      <w:r w:rsidRPr="00907FCC">
        <w:t xml:space="preserve"> en verksamhetsgren som inte längre nytecknas blivit så omfattande att återbetalning inte bedöms kunna göras inom överskådlig tid, får vd besluta att utestående förlagslån inte längre ska belastas med låneränta.   </w:t>
      </w:r>
    </w:p>
    <w:p w14:paraId="09D79C7D" w14:textId="38092E27" w:rsidR="007772ED" w:rsidRPr="00907FCC" w:rsidRDefault="007772ED" w:rsidP="00D44074">
      <w:pPr>
        <w:spacing w:line="276" w:lineRule="auto"/>
      </w:pPr>
    </w:p>
    <w:p w14:paraId="2F9B1724" w14:textId="7806171C" w:rsidR="007772ED" w:rsidRDefault="007772ED" w:rsidP="00D44074">
      <w:pPr>
        <w:spacing w:line="276" w:lineRule="auto"/>
      </w:pPr>
      <w:r w:rsidRPr="00907FCC">
        <w:t xml:space="preserve">Om en verksamhetsgren inte långsiktigt bedöms täcka sina egna förluster ska vd </w:t>
      </w:r>
      <w:r w:rsidR="00540A87">
        <w:t>säkerställa</w:t>
      </w:r>
      <w:r w:rsidR="006B5A55">
        <w:t xml:space="preserve"> </w:t>
      </w:r>
      <w:r w:rsidR="00540A87">
        <w:t>att</w:t>
      </w:r>
      <w:r w:rsidRPr="00907FCC">
        <w:t xml:space="preserve"> redovisning </w:t>
      </w:r>
      <w:r w:rsidR="00540A87">
        <w:t xml:space="preserve">lämnas </w:t>
      </w:r>
      <w:r w:rsidRPr="00907FCC">
        <w:t>till styrelsen med förslag till åtgärder, vilka ska syfta till att begränsa de ekonomiska förlusterna så långt möjligt utifrån redan gjorda åtaganden.</w:t>
      </w:r>
    </w:p>
    <w:p w14:paraId="60E1B786" w14:textId="77777777" w:rsidR="00571F3B" w:rsidRDefault="00571F3B" w:rsidP="00D44074">
      <w:pPr>
        <w:spacing w:line="276" w:lineRule="auto"/>
      </w:pPr>
    </w:p>
    <w:p w14:paraId="0601B1DF" w14:textId="77777777" w:rsidR="00F97BC8" w:rsidRDefault="00F97BC8" w:rsidP="00FB023C">
      <w:pPr>
        <w:spacing w:line="276" w:lineRule="auto"/>
        <w:rPr>
          <w:b/>
          <w:color w:val="00B0F0"/>
        </w:rPr>
      </w:pPr>
      <w:bookmarkStart w:id="7" w:name="_Toc98858337"/>
    </w:p>
    <w:p w14:paraId="317873FB" w14:textId="77777777" w:rsidR="000A24D5" w:rsidRPr="000A24D5" w:rsidRDefault="000A24D5" w:rsidP="000A24D5">
      <w:pPr>
        <w:pStyle w:val="Rubrik2"/>
      </w:pPr>
      <w:bookmarkStart w:id="8" w:name="_Toc229997314"/>
      <w:bookmarkEnd w:id="7"/>
      <w:r w:rsidRPr="000A24D5">
        <w:t>Företagets rätt att överlåta försäkringsbestånd</w:t>
      </w:r>
      <w:bookmarkEnd w:id="8"/>
      <w:r w:rsidRPr="000A24D5">
        <w:t xml:space="preserve"> </w:t>
      </w:r>
    </w:p>
    <w:p w14:paraId="234BFD81" w14:textId="77777777" w:rsidR="002C7219" w:rsidRPr="002C7219" w:rsidRDefault="002C7219" w:rsidP="002C7219">
      <w:pPr>
        <w:pStyle w:val="pf0"/>
        <w:rPr>
          <w:rFonts w:ascii="Arial" w:eastAsiaTheme="minorHAnsi" w:hAnsi="Arial" w:cs="Arial"/>
          <w:sz w:val="22"/>
          <w:szCs w:val="22"/>
          <w:lang w:eastAsia="en-US"/>
        </w:rPr>
      </w:pPr>
      <w:r w:rsidRPr="002C7219">
        <w:rPr>
          <w:rFonts w:ascii="Arial" w:eastAsiaTheme="minorHAnsi" w:hAnsi="Arial" w:cs="Arial"/>
          <w:sz w:val="22"/>
          <w:szCs w:val="22"/>
          <w:lang w:eastAsia="en-US"/>
        </w:rPr>
        <w:t>Rätten att överlåta försäkringsbestånd regleras av lagen om tjänstepensionsföretag, några ytterligare riktlinjer finns inte.</w:t>
      </w:r>
    </w:p>
    <w:p w14:paraId="1B2E6685" w14:textId="77777777" w:rsidR="00651636" w:rsidRPr="000C21C9" w:rsidRDefault="00651636" w:rsidP="00651636">
      <w:pPr>
        <w:pStyle w:val="Brdtext"/>
      </w:pPr>
    </w:p>
    <w:p w14:paraId="28A6EA93" w14:textId="6014AB01" w:rsidR="000B6794" w:rsidRPr="009131D5" w:rsidRDefault="001A308A" w:rsidP="002F0901">
      <w:pPr>
        <w:pStyle w:val="Rubrik1"/>
      </w:pPr>
      <w:bookmarkStart w:id="9" w:name="_Toc229997315"/>
      <w:r>
        <w:t>Traditionell försäkring</w:t>
      </w:r>
      <w:bookmarkEnd w:id="9"/>
    </w:p>
    <w:p w14:paraId="2681E1E5" w14:textId="77777777" w:rsidR="00131F1E" w:rsidRDefault="00131F1E" w:rsidP="00BB5416"/>
    <w:p w14:paraId="76E34C85" w14:textId="409F6A81" w:rsidR="000466EB" w:rsidRDefault="000466EB" w:rsidP="000466EB">
      <w:pPr>
        <w:pStyle w:val="Rubrik2"/>
      </w:pPr>
      <w:bookmarkStart w:id="10" w:name="_Toc229997316"/>
      <w:r>
        <w:t>Bestämmande av premier och förmåner</w:t>
      </w:r>
      <w:bookmarkEnd w:id="10"/>
    </w:p>
    <w:p w14:paraId="6E23E0D8" w14:textId="77777777" w:rsidR="00460915" w:rsidRPr="00460915" w:rsidRDefault="00460915" w:rsidP="00460915"/>
    <w:p w14:paraId="08FB782A" w14:textId="77777777" w:rsidR="0012501B" w:rsidRPr="0089225A" w:rsidRDefault="0012501B" w:rsidP="00662434">
      <w:pPr>
        <w:rPr>
          <w:sz w:val="24"/>
        </w:rPr>
      </w:pPr>
      <w:r w:rsidRPr="00500247">
        <w:rPr>
          <w:b/>
          <w:color w:val="00B0F0"/>
        </w:rPr>
        <w:t>Allmänna regler</w:t>
      </w:r>
    </w:p>
    <w:p w14:paraId="323DA1D3" w14:textId="60738879" w:rsidR="00662434" w:rsidRPr="0066502D" w:rsidRDefault="007730F3" w:rsidP="00662434">
      <w:pPr>
        <w:pStyle w:val="Brdtext"/>
        <w:spacing w:line="276" w:lineRule="auto"/>
      </w:pPr>
      <w:r>
        <w:t>H</w:t>
      </w:r>
      <w:r w:rsidR="00662434" w:rsidRPr="0066502D">
        <w:t xml:space="preserve">älsodeklaration och riskbedömning </w:t>
      </w:r>
      <w:r>
        <w:t xml:space="preserve">ska </w:t>
      </w:r>
      <w:r w:rsidR="00662434" w:rsidRPr="0066502D">
        <w:t xml:space="preserve">föregå tecknande och mottagande av försäkring, där </w:t>
      </w:r>
      <w:r w:rsidR="00736B28">
        <w:t>Företaget</w:t>
      </w:r>
      <w:r w:rsidR="00662434" w:rsidRPr="0066502D">
        <w:t xml:space="preserve"> står försäkringsmässig risk. </w:t>
      </w:r>
      <w:r w:rsidR="009C529E" w:rsidRPr="00EE4EEA">
        <w:t>Riskbedömning ska ske vid</w:t>
      </w:r>
      <w:r w:rsidR="00213ABF">
        <w:t xml:space="preserve"> ändringar om dessa innebär</w:t>
      </w:r>
      <w:r w:rsidR="009C529E" w:rsidRPr="00EE4EEA">
        <w:t xml:space="preserve"> u</w:t>
      </w:r>
      <w:r w:rsidR="000F125B" w:rsidRPr="00EE4EEA">
        <w:t>tökning av försäkringsrisk</w:t>
      </w:r>
      <w:r w:rsidR="009C529E" w:rsidRPr="00EE4EEA">
        <w:t xml:space="preserve"> som inte sker</w:t>
      </w:r>
      <w:r w:rsidR="007148C6" w:rsidRPr="00EE4EEA">
        <w:t xml:space="preserve"> vid av </w:t>
      </w:r>
      <w:r w:rsidR="00736B28" w:rsidRPr="00EE4EEA">
        <w:t>Företaget</w:t>
      </w:r>
      <w:r w:rsidR="007148C6" w:rsidRPr="00EE4EEA">
        <w:t xml:space="preserve"> på förhand definierade tillfällen</w:t>
      </w:r>
      <w:r w:rsidR="009C5D0F" w:rsidRPr="00EE4EEA">
        <w:t>.</w:t>
      </w:r>
      <w:r w:rsidR="009C5D0F">
        <w:t xml:space="preserve"> </w:t>
      </w:r>
      <w:r w:rsidR="00662434" w:rsidRPr="0066502D">
        <w:t xml:space="preserve">Riskbedömning ska ske enligt </w:t>
      </w:r>
      <w:r w:rsidR="00444098">
        <w:t>beslutade</w:t>
      </w:r>
      <w:r w:rsidR="00444098" w:rsidRPr="0066502D">
        <w:t xml:space="preserve"> </w:t>
      </w:r>
      <w:r w:rsidR="00662434" w:rsidRPr="0066502D">
        <w:t xml:space="preserve">riktlinjer och enligt fastställda formulär. Undantag </w:t>
      </w:r>
      <w:r w:rsidR="004A1C24">
        <w:t xml:space="preserve">får </w:t>
      </w:r>
      <w:r w:rsidR="00662434" w:rsidRPr="0066502D">
        <w:t xml:space="preserve">beslutas av vd dels i enskilda fall, dels för specificerade grupper av försäkrade där </w:t>
      </w:r>
      <w:r w:rsidR="009C5D0F">
        <w:t>risk</w:t>
      </w:r>
      <w:r w:rsidR="00662434" w:rsidRPr="0066502D">
        <w:t xml:space="preserve"> för negativt riskurval inte bedöms finnas. </w:t>
      </w:r>
    </w:p>
    <w:p w14:paraId="0175E8D5" w14:textId="116F855F" w:rsidR="0012501B" w:rsidRPr="00907FCC" w:rsidRDefault="0012501B" w:rsidP="004115E6">
      <w:pPr>
        <w:pStyle w:val="Brdtext"/>
        <w:spacing w:line="276" w:lineRule="auto"/>
      </w:pPr>
      <w:r w:rsidRPr="00907FCC">
        <w:t xml:space="preserve">För kollektivavtalad tjänstepension </w:t>
      </w:r>
      <w:r w:rsidR="00066709">
        <w:t>får</w:t>
      </w:r>
      <w:r w:rsidR="00870EF1">
        <w:t xml:space="preserve"> </w:t>
      </w:r>
      <w:r w:rsidRPr="00907FCC">
        <w:t xml:space="preserve">regelverket för riskbedömning </w:t>
      </w:r>
      <w:r w:rsidR="00066709">
        <w:t xml:space="preserve">följa </w:t>
      </w:r>
      <w:r w:rsidRPr="00907FCC">
        <w:t xml:space="preserve">av kollektivavtal, vilket beslutas av avtalsparter. </w:t>
      </w:r>
    </w:p>
    <w:p w14:paraId="2B673B86" w14:textId="2E4C9171" w:rsidR="00100B6D" w:rsidRDefault="007D3F16" w:rsidP="004115E6">
      <w:pPr>
        <w:pStyle w:val="Brdtext"/>
        <w:spacing w:line="276" w:lineRule="auto"/>
      </w:pPr>
      <w:r>
        <w:t>Val av a</w:t>
      </w:r>
      <w:r w:rsidR="00100B6D">
        <w:t xml:space="preserve">ntaganden vid bestämmande av premier och förmåner ska </w:t>
      </w:r>
      <w:r>
        <w:t>göras</w:t>
      </w:r>
      <w:r w:rsidR="00D85D3D">
        <w:t xml:space="preserve"> på ett ansvarsfullt sätt </w:t>
      </w:r>
      <w:r w:rsidR="006239C9">
        <w:t xml:space="preserve">vilket innebär att </w:t>
      </w:r>
      <w:r w:rsidR="00D85D3D">
        <w:t>hänsyn</w:t>
      </w:r>
      <w:r w:rsidR="006A2DC7">
        <w:t xml:space="preserve"> ska</w:t>
      </w:r>
      <w:r w:rsidR="006239C9">
        <w:t xml:space="preserve"> tas </w:t>
      </w:r>
      <w:r w:rsidR="00D85D3D">
        <w:t>till osäkerhet.</w:t>
      </w:r>
    </w:p>
    <w:p w14:paraId="3BC39DD8" w14:textId="13EFEA94" w:rsidR="00C12633" w:rsidRPr="00907FCC" w:rsidRDefault="00C12633" w:rsidP="004115E6">
      <w:pPr>
        <w:pStyle w:val="Brdtext"/>
        <w:spacing w:line="276" w:lineRule="auto"/>
      </w:pPr>
      <w:r>
        <w:t xml:space="preserve">Risken att avtal upphör i förtid hanteras genom att </w:t>
      </w:r>
      <w:r w:rsidR="00792D9D">
        <w:t>beakta</w:t>
      </w:r>
      <w:r>
        <w:t xml:space="preserve"> </w:t>
      </w:r>
      <w:r w:rsidR="00792D9D">
        <w:t xml:space="preserve">förväntad </w:t>
      </w:r>
      <w:r>
        <w:t>duration</w:t>
      </w:r>
      <w:r w:rsidR="00792D9D">
        <w:t xml:space="preserve"> med hänsyn till</w:t>
      </w:r>
      <w:r>
        <w:t xml:space="preserve"> annullation då antaganden om </w:t>
      </w:r>
      <w:r w:rsidR="00100B6D">
        <w:t xml:space="preserve">avkastning och </w:t>
      </w:r>
      <w:r>
        <w:t>driftskostnader bestäms.</w:t>
      </w:r>
    </w:p>
    <w:p w14:paraId="281AC87C" w14:textId="1A5D96FC" w:rsidR="004026EF" w:rsidRPr="00907FCC" w:rsidRDefault="00736B28" w:rsidP="004026EF">
      <w:pPr>
        <w:pStyle w:val="Brdtext"/>
        <w:spacing w:line="276" w:lineRule="auto"/>
      </w:pPr>
      <w:r>
        <w:lastRenderedPageBreak/>
        <w:t>Företaget</w:t>
      </w:r>
      <w:r w:rsidR="00662434" w:rsidRPr="00907FCC">
        <w:t xml:space="preserve"> har rätt att tillämpa regler för fördelning</w:t>
      </w:r>
      <w:r w:rsidR="00C954D3">
        <w:t xml:space="preserve"> av premier</w:t>
      </w:r>
      <w:r w:rsidR="00662434" w:rsidRPr="00907FCC">
        <w:t xml:space="preserve"> mellan garanti och överskott.</w:t>
      </w:r>
      <w:r w:rsidR="004026EF" w:rsidRPr="004026EF">
        <w:t xml:space="preserve"> </w:t>
      </w:r>
      <w:r w:rsidR="004026EF" w:rsidRPr="00907FCC">
        <w:t xml:space="preserve">Olika antaganden </w:t>
      </w:r>
      <w:r w:rsidR="004026EF">
        <w:t>får</w:t>
      </w:r>
      <w:r w:rsidR="004026EF" w:rsidRPr="00907FCC">
        <w:t xml:space="preserve"> göras för olika produkter och verksamhetsgrenar.</w:t>
      </w:r>
    </w:p>
    <w:p w14:paraId="64366B48" w14:textId="77777777" w:rsidR="0012501B" w:rsidRPr="00907FCC" w:rsidRDefault="0012501B" w:rsidP="004115E6">
      <w:pPr>
        <w:pStyle w:val="Brdtext"/>
        <w:spacing w:line="276" w:lineRule="auto"/>
      </w:pPr>
      <w:r w:rsidRPr="00907FCC">
        <w:t xml:space="preserve">Antaganden för redan tecknad försäkring får endast ändras där försäkringsavtalet uttryckligen medger att ändring får ske eller efter medgivande av Finansinspektionen. </w:t>
      </w:r>
    </w:p>
    <w:p w14:paraId="27B27B64" w14:textId="551A7D18" w:rsidR="0012501B" w:rsidRPr="007D2B1F" w:rsidRDefault="0012501B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Avkastning</w:t>
      </w:r>
    </w:p>
    <w:p w14:paraId="4AF6D384" w14:textId="04796987" w:rsidR="0012501B" w:rsidRPr="00907FCC" w:rsidRDefault="00736B28" w:rsidP="004115E6">
      <w:pPr>
        <w:pStyle w:val="Brdtext"/>
        <w:spacing w:line="276" w:lineRule="auto"/>
      </w:pPr>
      <w:r>
        <w:t>Företaget</w:t>
      </w:r>
      <w:r w:rsidR="00662434">
        <w:t>s</w:t>
      </w:r>
      <w:r w:rsidR="00662434" w:rsidRPr="00907FCC">
        <w:t xml:space="preserve"> långsiktiga antagande om avkastning ska bestämmas på </w:t>
      </w:r>
      <w:r w:rsidR="009D7D7E">
        <w:t xml:space="preserve">ett </w:t>
      </w:r>
      <w:r w:rsidR="00662434" w:rsidRPr="00907FCC">
        <w:t xml:space="preserve">sådant sätt att </w:t>
      </w:r>
      <w:r w:rsidR="00CE17C9">
        <w:t>F</w:t>
      </w:r>
      <w:r w:rsidR="00662434" w:rsidRPr="00907FCC">
        <w:t xml:space="preserve">öretagets soliditet upprätthålls. </w:t>
      </w:r>
      <w:r w:rsidR="0012501B" w:rsidRPr="00907FCC">
        <w:t xml:space="preserve">Olika antaganden </w:t>
      </w:r>
      <w:r w:rsidR="0065391E">
        <w:t>får</w:t>
      </w:r>
      <w:r w:rsidR="0065391E" w:rsidRPr="00907FCC">
        <w:t xml:space="preserve"> </w:t>
      </w:r>
      <w:r w:rsidR="0012501B" w:rsidRPr="00907FCC">
        <w:t>göras för olika produkter och verksamhetsgrenar.</w:t>
      </w:r>
    </w:p>
    <w:p w14:paraId="6C6E602A" w14:textId="6900B185" w:rsidR="0012501B" w:rsidRPr="007D2B1F" w:rsidRDefault="0012501B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Skatt</w:t>
      </w:r>
    </w:p>
    <w:p w14:paraId="616C22FE" w14:textId="610BD53F" w:rsidR="0012501B" w:rsidRDefault="0012501B" w:rsidP="004115E6">
      <w:pPr>
        <w:pStyle w:val="Brdtext"/>
        <w:spacing w:line="276" w:lineRule="auto"/>
      </w:pPr>
      <w:r w:rsidRPr="00907FCC">
        <w:t xml:space="preserve">Antaganden om skattebelastning ska beräknas i enlighet med gällande regler för beskattning av </w:t>
      </w:r>
      <w:r>
        <w:t>tjänstepensionsföretag</w:t>
      </w:r>
      <w:r w:rsidRPr="00907FCC">
        <w:t xml:space="preserve">. </w:t>
      </w:r>
      <w:r w:rsidR="009D11DD">
        <w:t>U</w:t>
      </w:r>
      <w:r w:rsidRPr="00907FCC">
        <w:t xml:space="preserve">tjämning i tiden får göras. </w:t>
      </w:r>
    </w:p>
    <w:p w14:paraId="0C874E4E" w14:textId="67094194" w:rsidR="0012501B" w:rsidRPr="00907FCC" w:rsidRDefault="0012501B" w:rsidP="004115E6">
      <w:pPr>
        <w:pStyle w:val="Brdtext"/>
        <w:spacing w:line="276" w:lineRule="auto"/>
      </w:pPr>
      <w:r w:rsidRPr="00907FCC">
        <w:t xml:space="preserve">Vid ändring av beskattningsregler </w:t>
      </w:r>
      <w:r w:rsidR="008464AE">
        <w:t>ska</w:t>
      </w:r>
      <w:r w:rsidR="00075A83" w:rsidRPr="00907FCC">
        <w:t xml:space="preserve"> </w:t>
      </w:r>
      <w:r w:rsidR="00A61F22">
        <w:t>F</w:t>
      </w:r>
      <w:r w:rsidRPr="00907FCC">
        <w:t>öretaget</w:t>
      </w:r>
      <w:r w:rsidR="008464AE">
        <w:t xml:space="preserve"> förbehålla sig</w:t>
      </w:r>
      <w:r w:rsidRPr="00907FCC">
        <w:t xml:space="preserve"> rätten att ändra gjorda antaganden för </w:t>
      </w:r>
      <w:r w:rsidR="00662434" w:rsidRPr="00907FCC">
        <w:t xml:space="preserve">redan tecknade försäkringar, om dessa berörs av ändringen. </w:t>
      </w:r>
      <w:r w:rsidRPr="00907FCC">
        <w:t xml:space="preserve">Sådana beslut ska fattas av styrelsen. </w:t>
      </w:r>
      <w:r w:rsidR="00736B28">
        <w:t>Företaget</w:t>
      </w:r>
      <w:r w:rsidRPr="00907FCC">
        <w:t xml:space="preserve"> är inte skyldigt att acceptera ökning av försäkringsrisk vid omräkningen.  </w:t>
      </w:r>
    </w:p>
    <w:p w14:paraId="015DB1C7" w14:textId="77777777" w:rsidR="0012501B" w:rsidRPr="007D2B1F" w:rsidRDefault="0012501B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 xml:space="preserve">Livslängd och dödlighet </w:t>
      </w:r>
    </w:p>
    <w:p w14:paraId="0279D3BF" w14:textId="263F8121" w:rsidR="0012501B" w:rsidRPr="000B1D08" w:rsidRDefault="0012501B" w:rsidP="004115E6">
      <w:pPr>
        <w:pStyle w:val="Brdtext"/>
        <w:spacing w:line="276" w:lineRule="auto"/>
      </w:pPr>
      <w:r w:rsidRPr="00907FCC">
        <w:t xml:space="preserve">Antaganden om livslängd och dödlighet ska relateras till förväntat utfall för det egna försäkringsbeståndet. För att göra uppskattningar </w:t>
      </w:r>
      <w:r w:rsidR="00552D29">
        <w:t>får</w:t>
      </w:r>
      <w:r w:rsidR="00552D29" w:rsidRPr="00907FCC">
        <w:t xml:space="preserve"> </w:t>
      </w:r>
      <w:r w:rsidRPr="00907FCC">
        <w:t xml:space="preserve">- utöver uppgifter som tagits fram inom det egna </w:t>
      </w:r>
      <w:r>
        <w:t>företaget</w:t>
      </w:r>
      <w:r w:rsidRPr="00907FCC">
        <w:t xml:space="preserve"> - även uppgifter inom försäkringsbranschen, annan bransch eller enligt befolkningsstatistik tillämpas. </w:t>
      </w:r>
    </w:p>
    <w:p w14:paraId="6BA4E6A0" w14:textId="2BAB762C" w:rsidR="00662434" w:rsidRDefault="0021415B" w:rsidP="009B1CB6">
      <w:pPr>
        <w:spacing w:line="276" w:lineRule="auto"/>
      </w:pPr>
      <w:r>
        <w:t>U</w:t>
      </w:r>
      <w:r w:rsidRPr="007E2AB7">
        <w:t xml:space="preserve">ppgift om ålder och kön </w:t>
      </w:r>
      <w:r>
        <w:t xml:space="preserve">ska </w:t>
      </w:r>
      <w:r w:rsidRPr="007E2AB7">
        <w:t>beaktas.</w:t>
      </w:r>
      <w:r w:rsidR="00DA0EFE" w:rsidRPr="00DA0EFE">
        <w:t xml:space="preserve"> </w:t>
      </w:r>
      <w:r w:rsidR="00DA0EFE">
        <w:t xml:space="preserve">Även andra faktorer med inverkan på livslängd och dödlighet får beaktas. </w:t>
      </w:r>
      <w:r>
        <w:t xml:space="preserve"> </w:t>
      </w:r>
      <w:r w:rsidR="006D4AA0">
        <w:t>För</w:t>
      </w:r>
      <w:r w:rsidR="006D4AA0" w:rsidRPr="00907FCC">
        <w:t xml:space="preserve"> </w:t>
      </w:r>
      <w:r w:rsidR="00662434" w:rsidRPr="00907FCC">
        <w:t>kollektivavtalad tjänstepensionsförsäkring</w:t>
      </w:r>
      <w:r w:rsidR="00667F9B">
        <w:t xml:space="preserve"> och för särskilt avgränsade delbestånd inom individuell försäkring </w:t>
      </w:r>
      <w:r w:rsidR="00667F9B" w:rsidDel="00967188">
        <w:t xml:space="preserve">får </w:t>
      </w:r>
      <w:r>
        <w:t xml:space="preserve">dock </w:t>
      </w:r>
      <w:r w:rsidR="00667F9B" w:rsidDel="00967188">
        <w:t>könsneutralitet tillämpas</w:t>
      </w:r>
      <w:r w:rsidR="00662434" w:rsidRPr="00907FCC">
        <w:t xml:space="preserve">. För engångspremier vid inlösen av livslånga förmånsbestämda ålderspensioner </w:t>
      </w:r>
      <w:r w:rsidR="008B099E">
        <w:t>gäller att</w:t>
      </w:r>
      <w:r w:rsidR="00662434" w:rsidRPr="00907FCC">
        <w:t xml:space="preserve"> uppgift om kön</w:t>
      </w:r>
      <w:r w:rsidR="008B099E">
        <w:t xml:space="preserve"> ska</w:t>
      </w:r>
      <w:r w:rsidR="00662434" w:rsidRPr="00907FCC">
        <w:t xml:space="preserve"> beaktas.</w:t>
      </w:r>
    </w:p>
    <w:p w14:paraId="46BE1B1D" w14:textId="77777777" w:rsidR="009B1CB6" w:rsidRPr="00907FCC" w:rsidRDefault="009B1CB6" w:rsidP="00DA0EFE"/>
    <w:p w14:paraId="3030793B" w14:textId="3D5A64A3" w:rsidR="0012501B" w:rsidRPr="00907FCC" w:rsidRDefault="0012501B" w:rsidP="004115E6">
      <w:pPr>
        <w:pStyle w:val="Brdtext"/>
        <w:spacing w:line="276" w:lineRule="auto"/>
      </w:pPr>
      <w:r w:rsidRPr="00907FCC">
        <w:t xml:space="preserve">Särskild uppdelning mellan livsfallsdödlighet och dödsfallsdödlighet ska göras om inte praktiska hinder föreligger vid tillämpning. </w:t>
      </w:r>
    </w:p>
    <w:p w14:paraId="0ED6B1CC" w14:textId="37637027" w:rsidR="0012501B" w:rsidRPr="007D2B1F" w:rsidRDefault="0012501B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Driftskostnad</w:t>
      </w:r>
      <w:r w:rsidR="00512AC1">
        <w:rPr>
          <w:i/>
          <w:color w:val="00B0F0"/>
        </w:rPr>
        <w:t>er</w:t>
      </w:r>
    </w:p>
    <w:p w14:paraId="5D6F9954" w14:textId="0388BE6B" w:rsidR="0012501B" w:rsidRPr="00907FCC" w:rsidRDefault="0012501B" w:rsidP="004115E6">
      <w:pPr>
        <w:pStyle w:val="Brdtext"/>
        <w:spacing w:line="276" w:lineRule="auto"/>
      </w:pPr>
      <w:r w:rsidRPr="00907FCC">
        <w:t xml:space="preserve">Belastningen för driftskostnader ska syfta till att frigjorda driftskostnadsbelastningar </w:t>
      </w:r>
      <w:r w:rsidR="00262C68">
        <w:t xml:space="preserve">långsiktigt </w:t>
      </w:r>
      <w:r w:rsidR="00662434" w:rsidRPr="00907FCC">
        <w:t xml:space="preserve">täcker </w:t>
      </w:r>
      <w:r w:rsidR="00736B28">
        <w:t>Företaget</w:t>
      </w:r>
      <w:r w:rsidR="00A1413C">
        <w:t>s</w:t>
      </w:r>
      <w:r w:rsidR="00662434" w:rsidRPr="00907FCC">
        <w:t xml:space="preserve"> faktiska driftskostnader.</w:t>
      </w:r>
      <w:r w:rsidRPr="00907FCC">
        <w:t xml:space="preserve"> Omständigheter som kan leda till olika driftskostnader mellan olika försäkringar får beaktas vid bestämmande av belastningar. </w:t>
      </w:r>
    </w:p>
    <w:p w14:paraId="10ABF04B" w14:textId="520DFD05" w:rsidR="00057830" w:rsidRPr="00057830" w:rsidRDefault="00057830" w:rsidP="00057830">
      <w:pPr>
        <w:rPr>
          <w:i/>
          <w:color w:val="00B0F0"/>
        </w:rPr>
      </w:pPr>
      <w:r w:rsidRPr="00057830">
        <w:rPr>
          <w:i/>
          <w:color w:val="00B0F0"/>
        </w:rPr>
        <w:t>Övriga antaganden</w:t>
      </w:r>
    </w:p>
    <w:p w14:paraId="6458EFF1" w14:textId="77777777" w:rsidR="001F4EF9" w:rsidRDefault="00057830" w:rsidP="001F4EF9">
      <w:pPr>
        <w:pStyle w:val="Brdtext"/>
        <w:spacing w:line="276" w:lineRule="auto"/>
      </w:pPr>
      <w:r>
        <w:t>Antaganden görs också</w:t>
      </w:r>
      <w:r w:rsidR="0085216D">
        <w:t xml:space="preserve"> för vissa produkter</w:t>
      </w:r>
      <w:r>
        <w:t xml:space="preserve"> om förmånstagare</w:t>
      </w:r>
      <w:r w:rsidR="00986CD7">
        <w:t>,</w:t>
      </w:r>
      <w:r w:rsidR="005961CD">
        <w:t xml:space="preserve"> sannolikhet att sådan</w:t>
      </w:r>
      <w:r w:rsidR="00957093">
        <w:t>a</w:t>
      </w:r>
      <w:r w:rsidR="005961CD">
        <w:t xml:space="preserve"> finns</w:t>
      </w:r>
      <w:r w:rsidR="00A77DD8">
        <w:t xml:space="preserve"> </w:t>
      </w:r>
      <w:r>
        <w:t>och deras rätt till ersättning samt ersättningens storlek och utbetalningsperiod.</w:t>
      </w:r>
    </w:p>
    <w:p w14:paraId="1847FE20" w14:textId="77777777" w:rsidR="001F4EF9" w:rsidRDefault="001F4EF9" w:rsidP="001F4EF9">
      <w:pPr>
        <w:spacing w:line="276" w:lineRule="auto"/>
        <w:rPr>
          <w:b/>
          <w:color w:val="00B0F0"/>
        </w:rPr>
      </w:pPr>
    </w:p>
    <w:p w14:paraId="26D648DE" w14:textId="2B272876" w:rsidR="00662434" w:rsidRPr="001F4EF9" w:rsidRDefault="00662434" w:rsidP="001F4EF9">
      <w:pPr>
        <w:spacing w:line="276" w:lineRule="auto"/>
        <w:rPr>
          <w:b/>
          <w:color w:val="00B0F0"/>
        </w:rPr>
      </w:pPr>
      <w:r w:rsidRPr="001F4EF9">
        <w:rPr>
          <w:b/>
          <w:color w:val="00B0F0"/>
        </w:rPr>
        <w:t>Rätt till ändring</w:t>
      </w:r>
    </w:p>
    <w:p w14:paraId="05B62E70" w14:textId="7D4D91F4" w:rsidR="0012501B" w:rsidRPr="00907FCC" w:rsidRDefault="0012501B" w:rsidP="001F4EF9">
      <w:pPr>
        <w:pStyle w:val="Brdtext"/>
        <w:spacing w:line="276" w:lineRule="auto"/>
      </w:pPr>
      <w:r w:rsidRPr="00907FCC">
        <w:t xml:space="preserve">Försäkring får inkludera möjlighet till senare utökning av försäkringsrisk inom vissa givna begränsningar. Om utökning inte sker vid av </w:t>
      </w:r>
      <w:r w:rsidR="00736B28">
        <w:t>Företaget</w:t>
      </w:r>
      <w:r w:rsidRPr="00907FCC">
        <w:t xml:space="preserve"> på förhand definierade tillfällen ska utökning kunna ske med beaktande av sedvanlig hälsoprövning baserad på den framtida möjliga riskökningen.</w:t>
      </w:r>
    </w:p>
    <w:p w14:paraId="1883EDCE" w14:textId="409E3057" w:rsidR="00741888" w:rsidRDefault="00662434" w:rsidP="00662434">
      <w:pPr>
        <w:pStyle w:val="Brdtext"/>
        <w:spacing w:line="276" w:lineRule="auto"/>
      </w:pPr>
      <w:r w:rsidRPr="00907FCC">
        <w:t xml:space="preserve">För traditionell försäkring med avkastningsgaranti </w:t>
      </w:r>
      <w:r>
        <w:t xml:space="preserve">gäller </w:t>
      </w:r>
      <w:r w:rsidR="00D8528C">
        <w:t xml:space="preserve">att </w:t>
      </w:r>
      <w:r w:rsidRPr="00907FCC">
        <w:t>det tekniska återköpsvärdet, beräknat med antaganden vid bestämmande av premier</w:t>
      </w:r>
      <w:r w:rsidR="00293E8E">
        <w:t xml:space="preserve"> och förmåner</w:t>
      </w:r>
      <w:r w:rsidRPr="00907FCC">
        <w:t xml:space="preserve">, </w:t>
      </w:r>
      <w:r w:rsidR="00D8528C">
        <w:t xml:space="preserve">ska </w:t>
      </w:r>
      <w:r w:rsidRPr="00907FCC">
        <w:t>vara oförändrat före och efter ändringen.</w:t>
      </w:r>
      <w:r w:rsidR="00C64448">
        <w:t xml:space="preserve"> </w:t>
      </w:r>
    </w:p>
    <w:p w14:paraId="2C24B2F4" w14:textId="2897AB79" w:rsidR="00662434" w:rsidRPr="00907FCC" w:rsidRDefault="00ED715C" w:rsidP="00662434">
      <w:pPr>
        <w:pStyle w:val="Brdtext"/>
        <w:spacing w:line="276" w:lineRule="auto"/>
      </w:pPr>
      <w:r>
        <w:t>För traditionell försäkring med premiegaranti</w:t>
      </w:r>
      <w:r w:rsidR="00C64448">
        <w:t xml:space="preserve"> </w:t>
      </w:r>
      <w:r w:rsidR="00621880">
        <w:t xml:space="preserve">gäller att det tekniska återköpsvärdet, beräknat med antaganden </w:t>
      </w:r>
      <w:r w:rsidR="00181E8A">
        <w:t>vid bestämmande av premier och förmåner</w:t>
      </w:r>
      <w:r w:rsidR="00C66CA6">
        <w:t xml:space="preserve"> vid beräkningstillfället</w:t>
      </w:r>
      <w:r w:rsidR="00181E8A">
        <w:t>, ska vara oförändrat före och efter ändringen</w:t>
      </w:r>
      <w:r w:rsidR="00D72C15">
        <w:t>.</w:t>
      </w:r>
      <w:r w:rsidR="00C64448">
        <w:t xml:space="preserve"> </w:t>
      </w:r>
    </w:p>
    <w:p w14:paraId="16F2184E" w14:textId="77777777" w:rsidR="00662434" w:rsidRDefault="00662434" w:rsidP="00662434"/>
    <w:p w14:paraId="3204C18C" w14:textId="77777777" w:rsidR="00B1716E" w:rsidRDefault="00B1716E" w:rsidP="00662434"/>
    <w:p w14:paraId="786C6151" w14:textId="492CE4B1" w:rsidR="002C2C8F" w:rsidRDefault="002C2C8F" w:rsidP="002C2C8F">
      <w:pPr>
        <w:pStyle w:val="Rubrik2"/>
      </w:pPr>
      <w:bookmarkStart w:id="11" w:name="_Toc229997317"/>
      <w:bookmarkStart w:id="12" w:name="_Hlk102044478"/>
      <w:r>
        <w:t>Beräkning av försäkringstekniska avsättningar</w:t>
      </w:r>
      <w:bookmarkEnd w:id="11"/>
      <w:r>
        <w:t xml:space="preserve"> </w:t>
      </w:r>
    </w:p>
    <w:p w14:paraId="206977C7" w14:textId="77777777" w:rsidR="002C2C8F" w:rsidRDefault="002C2C8F" w:rsidP="002C2C8F">
      <w:pPr>
        <w:spacing w:line="276" w:lineRule="auto"/>
      </w:pPr>
    </w:p>
    <w:p w14:paraId="74F348DE" w14:textId="46998C88" w:rsidR="002C2C8F" w:rsidRPr="001D5AE3" w:rsidRDefault="002C2C8F" w:rsidP="002C2C8F">
      <w:pPr>
        <w:spacing w:line="276" w:lineRule="auto"/>
      </w:pPr>
      <w:r>
        <w:t xml:space="preserve">Beräkning av försäkringstekniska avsättningar sker på samma sätt oavsett om beräkningen avser </w:t>
      </w:r>
      <w:r w:rsidR="0094684C">
        <w:t xml:space="preserve">finansiell redovisning eller </w:t>
      </w:r>
      <w:r>
        <w:t>solvensändamål.</w:t>
      </w:r>
    </w:p>
    <w:p w14:paraId="10ECBC56" w14:textId="77777777" w:rsidR="002C2C8F" w:rsidRDefault="002C2C8F" w:rsidP="002C2C8F"/>
    <w:p w14:paraId="793A1795" w14:textId="333A5B8F" w:rsidR="005A730B" w:rsidRDefault="00581503" w:rsidP="004115E6">
      <w:pPr>
        <w:pStyle w:val="Brdtext"/>
        <w:spacing w:line="276" w:lineRule="auto"/>
      </w:pPr>
      <w:r>
        <w:t xml:space="preserve">Försäkringstekniska avsättningar </w:t>
      </w:r>
      <w:r w:rsidR="0027380D">
        <w:t xml:space="preserve">ska </w:t>
      </w:r>
      <w:r>
        <w:t>bestå av livförsäkringsavsättning samt avsättning för fastställda skador.</w:t>
      </w:r>
      <w:r w:rsidRPr="00735DC5">
        <w:t xml:space="preserve"> </w:t>
      </w:r>
      <w:r>
        <w:t xml:space="preserve">Beräkning av försäkringstekniska avsättningar ska göras med aktsamma antaganden. </w:t>
      </w:r>
      <w:r w:rsidR="00C457BA">
        <w:t>I de fall det råder</w:t>
      </w:r>
      <w:r w:rsidR="005531C3" w:rsidRPr="005531C3">
        <w:t xml:space="preserve"> osäkerhet</w:t>
      </w:r>
      <w:r w:rsidR="007F153F">
        <w:t xml:space="preserve"> </w:t>
      </w:r>
      <w:r w:rsidR="00C457BA">
        <w:t>avseende vilket</w:t>
      </w:r>
      <w:r w:rsidR="00457D84">
        <w:t xml:space="preserve"> antagande</w:t>
      </w:r>
      <w:r w:rsidR="00C457BA">
        <w:t xml:space="preserve"> som är mest realistiskt</w:t>
      </w:r>
      <w:r w:rsidR="005531C3" w:rsidRPr="005531C3">
        <w:t xml:space="preserve"> </w:t>
      </w:r>
      <w:r w:rsidR="003C0A1B">
        <w:t>ska</w:t>
      </w:r>
      <w:r w:rsidR="00937AD3">
        <w:t xml:space="preserve"> </w:t>
      </w:r>
      <w:r w:rsidR="00CB4A19">
        <w:t xml:space="preserve">nödvändiga </w:t>
      </w:r>
      <w:r w:rsidR="005A730B" w:rsidRPr="005531C3">
        <w:t>säkerhetsmarginaler</w:t>
      </w:r>
      <w:r w:rsidR="00937AD3">
        <w:t xml:space="preserve"> </w:t>
      </w:r>
      <w:r w:rsidR="001063BE">
        <w:t>tillämpas</w:t>
      </w:r>
      <w:r w:rsidR="005A730B" w:rsidRPr="005531C3">
        <w:t>.</w:t>
      </w:r>
    </w:p>
    <w:p w14:paraId="367CB458" w14:textId="374F0FFC" w:rsidR="001B1D19" w:rsidRPr="00907FCC" w:rsidRDefault="001B1D19" w:rsidP="004115E6">
      <w:pPr>
        <w:pStyle w:val="Brdtext"/>
        <w:spacing w:line="276" w:lineRule="auto"/>
      </w:pPr>
      <w:r w:rsidRPr="00907FCC">
        <w:t xml:space="preserve">Tillägg </w:t>
      </w:r>
      <w:r w:rsidR="00566994">
        <w:t>får</w:t>
      </w:r>
      <w:r w:rsidR="00566994" w:rsidRPr="00907FCC">
        <w:t xml:space="preserve"> </w:t>
      </w:r>
      <w:r w:rsidRPr="00907FCC">
        <w:t xml:space="preserve">göras för erforderliga förstärkningar baserat på kollektiva beräkningar. Tilläggen </w:t>
      </w:r>
      <w:r w:rsidR="00C7460F">
        <w:t>ska</w:t>
      </w:r>
      <w:r w:rsidR="00C7460F" w:rsidRPr="00907FCC">
        <w:t xml:space="preserve"> </w:t>
      </w:r>
      <w:r w:rsidRPr="00907FCC">
        <w:t>avse förstärkningar av gjorda antaganden som inte kan beräknas individuellt.</w:t>
      </w:r>
    </w:p>
    <w:bookmarkEnd w:id="12"/>
    <w:p w14:paraId="691F6BEF" w14:textId="77777777" w:rsidR="000F3EB4" w:rsidRDefault="000F3EB4" w:rsidP="00BB5416">
      <w:pPr>
        <w:pStyle w:val="Kommentarer"/>
      </w:pPr>
    </w:p>
    <w:p w14:paraId="757C931A" w14:textId="77777777" w:rsidR="00260B94" w:rsidRPr="0089225A" w:rsidRDefault="00260B94" w:rsidP="00662434">
      <w:pPr>
        <w:rPr>
          <w:sz w:val="24"/>
        </w:rPr>
      </w:pPr>
      <w:r w:rsidRPr="00500247">
        <w:rPr>
          <w:b/>
          <w:color w:val="00B0F0"/>
        </w:rPr>
        <w:t>Livförsäkringsavsättning</w:t>
      </w:r>
    </w:p>
    <w:p w14:paraId="47244022" w14:textId="77777777" w:rsidR="00AE2259" w:rsidRDefault="00AE2259" w:rsidP="00EF1DD7">
      <w:pPr>
        <w:pStyle w:val="Brdtext"/>
        <w:spacing w:line="276" w:lineRule="auto"/>
      </w:pPr>
      <w:r w:rsidRPr="00907FCC">
        <w:t xml:space="preserve">Den totala </w:t>
      </w:r>
      <w:r>
        <w:t>livförsäkrings</w:t>
      </w:r>
      <w:r w:rsidRPr="00907FCC">
        <w:t>avsättningen ska motsvara summan av de</w:t>
      </w:r>
      <w:r>
        <w:t>n</w:t>
      </w:r>
      <w:r w:rsidRPr="00907FCC">
        <w:t xml:space="preserve"> beräknade </w:t>
      </w:r>
      <w:r>
        <w:t>livförsäkringsavsättningen</w:t>
      </w:r>
      <w:r w:rsidRPr="00907FCC">
        <w:t xml:space="preserve"> för de enskilda försäkringarna</w:t>
      </w:r>
      <w:r>
        <w:t>.</w:t>
      </w:r>
    </w:p>
    <w:p w14:paraId="63CE18FA" w14:textId="2C2E8349" w:rsidR="00AE2259" w:rsidRPr="00907FCC" w:rsidRDefault="00AE2259" w:rsidP="00036151">
      <w:pPr>
        <w:pStyle w:val="Brdtext"/>
        <w:spacing w:line="276" w:lineRule="auto"/>
      </w:pPr>
      <w:r w:rsidRPr="00907FCC">
        <w:t>Livförsäkringsavsättning utgör skillnaden mellan det förväntade kapitalvärdet av beräknade framtida intäkter</w:t>
      </w:r>
      <w:r w:rsidR="007346B3">
        <w:t xml:space="preserve"> och kostnader</w:t>
      </w:r>
      <w:r w:rsidRPr="00907FCC">
        <w:t xml:space="preserve">. </w:t>
      </w:r>
    </w:p>
    <w:p w14:paraId="74A12DAC" w14:textId="77777777" w:rsidR="00AE2259" w:rsidRPr="007D2B1F" w:rsidRDefault="00AE2259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Avkastning</w:t>
      </w:r>
    </w:p>
    <w:p w14:paraId="5AA0748D" w14:textId="3605A1DD" w:rsidR="00AE2259" w:rsidRPr="00907FCC" w:rsidRDefault="00736B28" w:rsidP="00036151">
      <w:pPr>
        <w:pStyle w:val="Brdtext"/>
        <w:spacing w:line="276" w:lineRule="auto"/>
      </w:pPr>
      <w:r>
        <w:t>Företaget</w:t>
      </w:r>
      <w:r w:rsidR="009827CD" w:rsidRPr="00907FCC">
        <w:t xml:space="preserve"> </w:t>
      </w:r>
      <w:r w:rsidR="00475992">
        <w:t xml:space="preserve">ska </w:t>
      </w:r>
      <w:r w:rsidR="00774584">
        <w:t xml:space="preserve">tillämpa </w:t>
      </w:r>
      <w:r w:rsidR="009827CD">
        <w:t xml:space="preserve">en </w:t>
      </w:r>
      <w:r w:rsidR="00774584">
        <w:t>diskonteringsräntekurva</w:t>
      </w:r>
      <w:r w:rsidR="009827CD">
        <w:t xml:space="preserve"> i enlighet med </w:t>
      </w:r>
      <w:r w:rsidR="004B1BDE">
        <w:t xml:space="preserve">Finansinspektionens föreskrifter </w:t>
      </w:r>
      <w:r w:rsidR="00EB766F">
        <w:t>och allmänna råd för</w:t>
      </w:r>
      <w:r w:rsidR="004B1BDE">
        <w:t xml:space="preserve"> </w:t>
      </w:r>
      <w:r w:rsidR="00B83E21">
        <w:t>t</w:t>
      </w:r>
      <w:r w:rsidR="004B1BDE">
        <w:t>jänstepensionsföretag</w:t>
      </w:r>
      <w:r w:rsidR="006E6606">
        <w:t>.</w:t>
      </w:r>
      <w:r w:rsidR="00E82272">
        <w:t xml:space="preserve"> </w:t>
      </w:r>
    </w:p>
    <w:p w14:paraId="58A43311" w14:textId="77777777" w:rsidR="00AE2259" w:rsidRPr="007D2B1F" w:rsidRDefault="00AE2259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 xml:space="preserve">Skatt </w:t>
      </w:r>
    </w:p>
    <w:p w14:paraId="146DFD0E" w14:textId="39336FFC" w:rsidR="00AE2259" w:rsidRDefault="00956390" w:rsidP="008E265A">
      <w:pPr>
        <w:autoSpaceDE w:val="0"/>
        <w:autoSpaceDN w:val="0"/>
        <w:adjustRightInd w:val="0"/>
        <w:spacing w:line="276" w:lineRule="auto"/>
        <w:rPr>
          <w:rFonts w:eastAsia="Calibri"/>
          <w:bCs/>
          <w:bdr w:val="nil"/>
        </w:rPr>
      </w:pPr>
      <w:r>
        <w:t xml:space="preserve">Antagande om avkastningsskatt ska utgå </w:t>
      </w:r>
      <w:r w:rsidR="00E463AD">
        <w:t>i</w:t>
      </w:r>
      <w:r>
        <w:t>från den skattelagstiftning som gäller vid beräkningstidpunkten.</w:t>
      </w:r>
      <w:r w:rsidR="00AE2259" w:rsidRPr="00907FCC">
        <w:rPr>
          <w:rFonts w:eastAsia="Calibri"/>
          <w:bCs/>
          <w:bdr w:val="nil"/>
        </w:rPr>
        <w:t xml:space="preserve"> </w:t>
      </w:r>
    </w:p>
    <w:p w14:paraId="6499E625" w14:textId="77777777" w:rsidR="00A833A6" w:rsidRPr="00907FCC" w:rsidRDefault="00A833A6" w:rsidP="008E265A">
      <w:pPr>
        <w:autoSpaceDE w:val="0"/>
        <w:autoSpaceDN w:val="0"/>
        <w:adjustRightInd w:val="0"/>
        <w:spacing w:line="276" w:lineRule="auto"/>
        <w:rPr>
          <w:rFonts w:eastAsia="Calibri"/>
          <w:bCs/>
          <w:bdr w:val="nil"/>
        </w:rPr>
      </w:pPr>
    </w:p>
    <w:p w14:paraId="5FFC9251" w14:textId="77777777" w:rsidR="00A833A6" w:rsidRPr="00907FCC" w:rsidRDefault="00A833A6" w:rsidP="00A833A6">
      <w:pPr>
        <w:autoSpaceDE w:val="0"/>
        <w:autoSpaceDN w:val="0"/>
        <w:adjustRightInd w:val="0"/>
        <w:spacing w:line="276" w:lineRule="auto"/>
        <w:rPr>
          <w:rFonts w:eastAsia="Calibri"/>
          <w:bCs/>
          <w:bdr w:val="nil"/>
        </w:rPr>
      </w:pPr>
      <w:r w:rsidRPr="00907FCC">
        <w:rPr>
          <w:rFonts w:eastAsia="Calibri"/>
          <w:bCs/>
          <w:bdr w:val="nil"/>
        </w:rPr>
        <w:t xml:space="preserve">För att bestämma antagandet om statslåneränta </w:t>
      </w:r>
      <w:r>
        <w:rPr>
          <w:rFonts w:eastAsia="Calibri"/>
          <w:bCs/>
          <w:bdr w:val="nil"/>
        </w:rPr>
        <w:t xml:space="preserve">ska </w:t>
      </w:r>
      <w:r w:rsidRPr="00907FCC">
        <w:rPr>
          <w:rFonts w:eastAsia="Calibri"/>
          <w:bCs/>
          <w:bdr w:val="nil"/>
        </w:rPr>
        <w:t>företaget</w:t>
      </w:r>
      <w:r>
        <w:rPr>
          <w:rFonts w:eastAsia="Calibri"/>
          <w:bCs/>
          <w:bdr w:val="nil"/>
        </w:rPr>
        <w:t xml:space="preserve"> </w:t>
      </w:r>
      <w:r w:rsidRPr="00907FCC">
        <w:rPr>
          <w:rFonts w:eastAsia="Calibri"/>
          <w:bCs/>
          <w:bdr w:val="nil"/>
        </w:rPr>
        <w:t>utgå ifrån statsobligationsränta</w:t>
      </w:r>
      <w:r>
        <w:rPr>
          <w:rFonts w:eastAsia="Calibri"/>
          <w:bCs/>
          <w:bdr w:val="nil"/>
        </w:rPr>
        <w:t>n</w:t>
      </w:r>
      <w:r w:rsidRPr="00907FCC">
        <w:rPr>
          <w:rFonts w:eastAsia="Calibri"/>
          <w:bCs/>
          <w:bdr w:val="nil"/>
        </w:rPr>
        <w:t xml:space="preserve"> som har en löptid närmast 10 år. </w:t>
      </w:r>
    </w:p>
    <w:p w14:paraId="26F48A92" w14:textId="77777777" w:rsidR="00AF0984" w:rsidRDefault="00AF0984" w:rsidP="00662434">
      <w:pPr>
        <w:rPr>
          <w:i/>
          <w:color w:val="00B0F0"/>
        </w:rPr>
      </w:pPr>
    </w:p>
    <w:p w14:paraId="23A43ED7" w14:textId="5F039193" w:rsidR="00AE2259" w:rsidRPr="007D2B1F" w:rsidRDefault="00AE2259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Dödlighet</w:t>
      </w:r>
      <w:r w:rsidRPr="00627362">
        <w:rPr>
          <w:i/>
          <w:color w:val="00B0F0"/>
        </w:rPr>
        <w:tab/>
      </w:r>
    </w:p>
    <w:p w14:paraId="6F0B7A0C" w14:textId="6925AE0B" w:rsidR="00AE2259" w:rsidRPr="00907FCC" w:rsidRDefault="00AE2259" w:rsidP="0025662D">
      <w:pPr>
        <w:pStyle w:val="Brdtext"/>
        <w:spacing w:line="276" w:lineRule="auto"/>
      </w:pPr>
      <w:r w:rsidRPr="00907FCC">
        <w:t xml:space="preserve">Antaganden om livslängd och dödlighet </w:t>
      </w:r>
      <w:r w:rsidR="00082359">
        <w:t xml:space="preserve">ska </w:t>
      </w:r>
      <w:r w:rsidRPr="00907FCC">
        <w:t xml:space="preserve">relatera till förväntat utfall för det egna försäkringsbeståndet. Därutöver </w:t>
      </w:r>
      <w:r w:rsidR="00082359">
        <w:t xml:space="preserve">ska </w:t>
      </w:r>
      <w:r w:rsidRPr="00907FCC">
        <w:t xml:space="preserve">Statistiska Centralbyråns, SCB:s, framtagna årliga dödlighetsminskningar </w:t>
      </w:r>
      <w:r w:rsidR="000C136D">
        <w:t>användas</w:t>
      </w:r>
      <w:r w:rsidR="009F3DAD">
        <w:t>,</w:t>
      </w:r>
      <w:r w:rsidR="000C136D">
        <w:t xml:space="preserve"> </w:t>
      </w:r>
      <w:r w:rsidRPr="00907FCC">
        <w:t xml:space="preserve">vilka baseras på hela Sveriges befolkning som är mer homogen över tiden än </w:t>
      </w:r>
      <w:r w:rsidR="00736B28">
        <w:t>Företaget</w:t>
      </w:r>
      <w:r w:rsidR="007A277B">
        <w:t>s</w:t>
      </w:r>
      <w:r w:rsidRPr="00907FCC">
        <w:t xml:space="preserve"> bestånd. </w:t>
      </w:r>
    </w:p>
    <w:p w14:paraId="26560430" w14:textId="1D8663F7" w:rsidR="00AE2259" w:rsidRPr="00907FCC" w:rsidRDefault="00FA1595" w:rsidP="0025662D">
      <w:pPr>
        <w:pStyle w:val="Brdtext"/>
        <w:spacing w:line="276" w:lineRule="auto"/>
      </w:pPr>
      <w:r>
        <w:t>Vid b</w:t>
      </w:r>
      <w:r w:rsidR="00AE2259" w:rsidRPr="00907FCC">
        <w:t>eräkning</w:t>
      </w:r>
      <w:r w:rsidR="004B5F7F">
        <w:t>a</w:t>
      </w:r>
      <w:r w:rsidR="00AE2259" w:rsidRPr="00907FCC">
        <w:t>r</w:t>
      </w:r>
      <w:r w:rsidR="00D501CE">
        <w:t xml:space="preserve"> av försäkringstekniska avsättningar</w:t>
      </w:r>
      <w:r w:rsidR="00AE2259" w:rsidRPr="00907FCC">
        <w:t xml:space="preserve"> ska </w:t>
      </w:r>
      <w:r w:rsidR="00552369">
        <w:t xml:space="preserve">alltid </w:t>
      </w:r>
      <w:r w:rsidR="00AE2259" w:rsidRPr="00907FCC">
        <w:t xml:space="preserve">kön </w:t>
      </w:r>
      <w:r w:rsidRPr="00907FCC">
        <w:t>beakta</w:t>
      </w:r>
      <w:r>
        <w:t>s</w:t>
      </w:r>
      <w:r w:rsidRPr="00907FCC">
        <w:t xml:space="preserve"> </w:t>
      </w:r>
      <w:r w:rsidR="00AE2259" w:rsidRPr="00907FCC">
        <w:t>vid antagande</w:t>
      </w:r>
      <w:r w:rsidR="00D501CE">
        <w:t xml:space="preserve"> om livslängd och dödlighet</w:t>
      </w:r>
      <w:r w:rsidR="0065505E">
        <w:t>.</w:t>
      </w:r>
      <w:r w:rsidR="00AE2259" w:rsidRPr="00907FCC">
        <w:t xml:space="preserve"> </w:t>
      </w:r>
    </w:p>
    <w:p w14:paraId="00A4224C" w14:textId="33448565" w:rsidR="00AE2259" w:rsidRPr="007D2B1F" w:rsidRDefault="00AE2259" w:rsidP="00662434">
      <w:pPr>
        <w:rPr>
          <w:b/>
          <w:bCs/>
          <w:i/>
          <w:iCs/>
          <w:sz w:val="24"/>
        </w:rPr>
      </w:pPr>
      <w:r w:rsidRPr="00627362">
        <w:rPr>
          <w:i/>
          <w:color w:val="00B0F0"/>
        </w:rPr>
        <w:t>Driftskostnad</w:t>
      </w:r>
      <w:r w:rsidR="009329C8">
        <w:rPr>
          <w:i/>
          <w:color w:val="00B0F0"/>
        </w:rPr>
        <w:t>er</w:t>
      </w:r>
    </w:p>
    <w:p w14:paraId="28060790" w14:textId="2544E735" w:rsidR="00191887" w:rsidRDefault="00AE2259" w:rsidP="008E265A">
      <w:pPr>
        <w:pStyle w:val="Brdtext"/>
        <w:spacing w:line="276" w:lineRule="auto"/>
      </w:pPr>
      <w:r w:rsidRPr="00907FCC">
        <w:t xml:space="preserve">För driftskostnader ska antaganden göras om förväntade administrativa kostnader, anskaffningskostnader och övriga kostnader som allokeras till befintliga försäkringsavtal. Antaganden ska även göras för skaderegleringskostnader och kostnader för kapitalförvaltning. </w:t>
      </w:r>
    </w:p>
    <w:p w14:paraId="33C476EE" w14:textId="263DB2ED" w:rsidR="00AE2259" w:rsidRPr="00907FCC" w:rsidRDefault="00AE2259" w:rsidP="008E265A">
      <w:pPr>
        <w:pStyle w:val="Brdtext"/>
        <w:spacing w:line="276" w:lineRule="auto"/>
      </w:pPr>
      <w:r w:rsidRPr="00907FCC">
        <w:t xml:space="preserve">Driftskostnadsantaganden ska utgå ifrån att </w:t>
      </w:r>
      <w:r w:rsidR="00736B28">
        <w:t>Företaget</w:t>
      </w:r>
      <w:r w:rsidR="00557310">
        <w:t>s</w:t>
      </w:r>
      <w:r>
        <w:t xml:space="preserve"> </w:t>
      </w:r>
      <w:r w:rsidRPr="00907FCC">
        <w:t>verksamhet fortsätter, men inte inkludera kostnader för nyteckning och framtida icke avtalade premieinbetalningar.</w:t>
      </w:r>
      <w:r w:rsidR="003C69A9">
        <w:t xml:space="preserve"> </w:t>
      </w:r>
    </w:p>
    <w:p w14:paraId="4F64E440" w14:textId="65A5F2DE" w:rsidR="00AE2259" w:rsidRPr="001415FA" w:rsidRDefault="00AE2259" w:rsidP="00365633">
      <w:pPr>
        <w:pStyle w:val="Brdtext"/>
        <w:spacing w:line="276" w:lineRule="auto"/>
        <w:rPr>
          <w:rFonts w:asciiTheme="majorHAnsi" w:hAnsiTheme="majorHAnsi" w:cstheme="majorHAnsi"/>
          <w:b/>
          <w:bCs/>
          <w:i/>
          <w:color w:val="009CE0"/>
          <w:sz w:val="24"/>
          <w:szCs w:val="32"/>
        </w:rPr>
      </w:pPr>
      <w:r w:rsidRPr="00036151">
        <w:rPr>
          <w:i/>
          <w:color w:val="00B0F0"/>
        </w:rPr>
        <w:t>Optioner</w:t>
      </w:r>
      <w:r w:rsidRPr="00036151">
        <w:rPr>
          <w:i/>
          <w:color w:val="00B0F0"/>
        </w:rPr>
        <w:br/>
      </w:r>
      <w:r w:rsidRPr="008A77C0">
        <w:t xml:space="preserve">Vid beräkning av livförsäkringsavsättning </w:t>
      </w:r>
      <w:r w:rsidR="0007668B">
        <w:t xml:space="preserve">ska </w:t>
      </w:r>
      <w:r w:rsidRPr="008A77C0">
        <w:t>antaganden om materiella optioner i avtalen</w:t>
      </w:r>
      <w:r w:rsidR="0007668B">
        <w:t xml:space="preserve"> </w:t>
      </w:r>
      <w:r w:rsidR="0007668B" w:rsidRPr="008A77C0">
        <w:t>ingå</w:t>
      </w:r>
      <w:r w:rsidRPr="008A77C0">
        <w:t xml:space="preserve">. De antaganden som tillämpas ska baseras på försäkringstagarnas beteende inom </w:t>
      </w:r>
      <w:r w:rsidR="00736B28">
        <w:t>Företaget</w:t>
      </w:r>
      <w:r w:rsidRPr="008A77C0">
        <w:t>.</w:t>
      </w:r>
      <w:r w:rsidRPr="008A77C0">
        <w:br/>
      </w:r>
      <w:r w:rsidRPr="008A77C0">
        <w:br/>
      </w:r>
      <w:r w:rsidRPr="00500247">
        <w:rPr>
          <w:b/>
          <w:color w:val="00B0F0"/>
        </w:rPr>
        <w:t>Avsättning för oreglerade skador</w:t>
      </w:r>
    </w:p>
    <w:p w14:paraId="354BF7BE" w14:textId="77777777" w:rsidR="00AE2259" w:rsidRPr="00BD4DC3" w:rsidRDefault="00AE2259" w:rsidP="00662434">
      <w:pPr>
        <w:rPr>
          <w:b/>
          <w:color w:val="00B0F0"/>
        </w:rPr>
      </w:pPr>
      <w:r w:rsidRPr="00BD4DC3">
        <w:rPr>
          <w:b/>
          <w:color w:val="00B0F0"/>
        </w:rPr>
        <w:t>Fastställda skador</w:t>
      </w:r>
    </w:p>
    <w:p w14:paraId="3E6C174E" w14:textId="77777777" w:rsidR="00AE2259" w:rsidRPr="00907FCC" w:rsidRDefault="00AE2259" w:rsidP="00EF1DD7">
      <w:pPr>
        <w:pStyle w:val="Brdtext"/>
        <w:spacing w:line="276" w:lineRule="auto"/>
      </w:pPr>
      <w:r w:rsidRPr="00907FCC">
        <w:t xml:space="preserve">Fastställda försäkringsersättningar ska uppskattas till sitt kända belopp med tillägg för återbäring, beräknade skaderegleringskostnader och upplupen avtalad ränta enligt försäkringsvillkor. </w:t>
      </w:r>
    </w:p>
    <w:p w14:paraId="148F944D" w14:textId="77777777" w:rsidR="00EA6BDF" w:rsidRDefault="00EA6BDF" w:rsidP="00662434">
      <w:pPr>
        <w:rPr>
          <w:i/>
          <w:color w:val="00B0F0"/>
        </w:rPr>
      </w:pPr>
    </w:p>
    <w:p w14:paraId="2A5C12B1" w14:textId="77777777" w:rsidR="00D25C48" w:rsidRDefault="00D25C48" w:rsidP="00662434">
      <w:pPr>
        <w:rPr>
          <w:i/>
          <w:color w:val="00B0F0"/>
        </w:rPr>
      </w:pPr>
    </w:p>
    <w:p w14:paraId="2D1E04D1" w14:textId="551B8BB5" w:rsidR="00457026" w:rsidRDefault="00457026" w:rsidP="00457026">
      <w:pPr>
        <w:pStyle w:val="Rubrik2"/>
      </w:pPr>
      <w:bookmarkStart w:id="13" w:name="_Toc229997318"/>
      <w:r>
        <w:t>Återköp av försäkringar samt överföring av försäkringars värde</w:t>
      </w:r>
      <w:bookmarkEnd w:id="13"/>
    </w:p>
    <w:p w14:paraId="3E260D64" w14:textId="77777777" w:rsidR="009A47F7" w:rsidRDefault="009A47F7" w:rsidP="00C62E0A">
      <w:pPr>
        <w:pStyle w:val="Brdtext"/>
        <w:spacing w:line="276" w:lineRule="auto"/>
      </w:pPr>
    </w:p>
    <w:p w14:paraId="79E540D8" w14:textId="6592CFAF" w:rsidR="00053CD5" w:rsidRPr="000F6116" w:rsidRDefault="00053CD5" w:rsidP="000F6116">
      <w:pPr>
        <w:rPr>
          <w:b/>
          <w:color w:val="00B0F0"/>
        </w:rPr>
      </w:pPr>
      <w:r w:rsidRPr="00500247">
        <w:rPr>
          <w:b/>
          <w:color w:val="00B0F0"/>
        </w:rPr>
        <w:t xml:space="preserve">Beräkning vid återköp samt överföring av försäkringars värde  </w:t>
      </w:r>
    </w:p>
    <w:p w14:paraId="6AF59A79" w14:textId="4C3657CC" w:rsidR="00662434" w:rsidRDefault="000F6116" w:rsidP="0081762F">
      <w:pPr>
        <w:spacing w:line="276" w:lineRule="auto"/>
      </w:pPr>
      <w:r>
        <w:t>För</w:t>
      </w:r>
      <w:r w:rsidR="00662434" w:rsidRPr="00907FCC">
        <w:t xml:space="preserve"> försäkring med avkastningsgaranti</w:t>
      </w:r>
      <w:r w:rsidR="00662434">
        <w:t xml:space="preserve"> där garanti gäller vid </w:t>
      </w:r>
      <w:r w:rsidR="00980821">
        <w:t xml:space="preserve">överföring </w:t>
      </w:r>
      <w:r w:rsidR="009B67A7">
        <w:t xml:space="preserve">av värde </w:t>
      </w:r>
      <w:r w:rsidR="00662434">
        <w:t xml:space="preserve">respektive återköp </w:t>
      </w:r>
      <w:r w:rsidR="00EB27C2">
        <w:t xml:space="preserve">ska </w:t>
      </w:r>
      <w:r w:rsidR="00662434" w:rsidRPr="00907FCC">
        <w:t>ett tekniskt återköpsvärde</w:t>
      </w:r>
      <w:r w:rsidR="00EB27C2">
        <w:t xml:space="preserve"> </w:t>
      </w:r>
      <w:r w:rsidR="00EB27C2" w:rsidRPr="00907FCC">
        <w:t>beräknas</w:t>
      </w:r>
      <w:r w:rsidR="00662434" w:rsidRPr="00907FCC">
        <w:t xml:space="preserve"> med ledning av antaganden enligt </w:t>
      </w:r>
      <w:r w:rsidR="00662434" w:rsidRPr="008E265A">
        <w:t>Bestämmande av premie</w:t>
      </w:r>
      <w:r w:rsidR="00322E6D">
        <w:t>r och förmåner</w:t>
      </w:r>
      <w:r w:rsidR="00662434" w:rsidRPr="004115E6">
        <w:t>.</w:t>
      </w:r>
      <w:r w:rsidR="00662434">
        <w:t xml:space="preserve"> </w:t>
      </w:r>
    </w:p>
    <w:p w14:paraId="439A8499" w14:textId="5BD3042D" w:rsidR="00AE1E12" w:rsidRDefault="00AE1E12" w:rsidP="0081762F">
      <w:pPr>
        <w:pStyle w:val="Brdtext"/>
        <w:spacing w:line="276" w:lineRule="auto"/>
      </w:pPr>
      <w:r>
        <w:t xml:space="preserve">För försäkring med </w:t>
      </w:r>
      <w:r w:rsidR="004D36EF">
        <w:t xml:space="preserve">avkastningsgaranti </w:t>
      </w:r>
      <w:r w:rsidR="0032495F">
        <w:t xml:space="preserve">där garanti inte gäller vid överföring av värde respektive återköp </w:t>
      </w:r>
      <w:r w:rsidR="004D36EF">
        <w:t xml:space="preserve">samt för försäkring med </w:t>
      </w:r>
      <w:r>
        <w:t xml:space="preserve">premiegaranti </w:t>
      </w:r>
      <w:r w:rsidR="006826CE">
        <w:t xml:space="preserve">ska </w:t>
      </w:r>
      <w:r>
        <w:t>tekniskt återköpsvärde</w:t>
      </w:r>
      <w:r w:rsidR="006826CE">
        <w:t xml:space="preserve"> vara</w:t>
      </w:r>
      <w:r>
        <w:t xml:space="preserve"> lika med retrospektivreserven.</w:t>
      </w:r>
    </w:p>
    <w:p w14:paraId="53EEE24D" w14:textId="7D9F74A0" w:rsidR="00470E77" w:rsidRPr="00907FCC" w:rsidRDefault="00470E77" w:rsidP="008058E9">
      <w:pPr>
        <w:pStyle w:val="Brdtext"/>
        <w:spacing w:line="276" w:lineRule="auto"/>
      </w:pPr>
      <w:r>
        <w:lastRenderedPageBreak/>
        <w:t>Företaget</w:t>
      </w:r>
      <w:r w:rsidRPr="00907FCC">
        <w:t xml:space="preserve"> har rätt att reducera allokerat överskott som fördelats på enskild försäkring</w:t>
      </w:r>
      <w:r>
        <w:t xml:space="preserve"> med avkastningsgaranti</w:t>
      </w:r>
      <w:r w:rsidRPr="00907FCC">
        <w:t xml:space="preserve"> vid överföring eller återköp.</w:t>
      </w:r>
    </w:p>
    <w:p w14:paraId="0D1BEA31" w14:textId="49540EBC" w:rsidR="00421BAB" w:rsidRDefault="00421BAB" w:rsidP="00421BAB">
      <w:pPr>
        <w:pStyle w:val="Brdtext"/>
        <w:spacing w:line="276" w:lineRule="auto"/>
      </w:pPr>
      <w:r w:rsidRPr="00907FCC">
        <w:t xml:space="preserve">För </w:t>
      </w:r>
      <w:r>
        <w:t xml:space="preserve">förmånsbestämd </w:t>
      </w:r>
      <w:r w:rsidRPr="00907FCC">
        <w:t xml:space="preserve">försäkring </w:t>
      </w:r>
      <w:r>
        <w:t xml:space="preserve">vid återköp av lågt </w:t>
      </w:r>
      <w:r w:rsidR="00442E14">
        <w:t>belopp</w:t>
      </w:r>
      <w:r>
        <w:t xml:space="preserve"> </w:t>
      </w:r>
      <w:r w:rsidR="006F553E">
        <w:t xml:space="preserve">ska </w:t>
      </w:r>
      <w:r w:rsidRPr="00907FCC">
        <w:t>ett tekniskt återköpsvärde</w:t>
      </w:r>
      <w:r w:rsidR="006F553E">
        <w:t xml:space="preserve"> </w:t>
      </w:r>
      <w:r w:rsidR="006F553E" w:rsidRPr="00907FCC">
        <w:t>beräknas</w:t>
      </w:r>
      <w:r w:rsidRPr="00907FCC">
        <w:t xml:space="preserve"> med ledning av antaganden enligt </w:t>
      </w:r>
      <w:r w:rsidRPr="008E265A">
        <w:t>Bestämmande av premie</w:t>
      </w:r>
      <w:r>
        <w:t>r och förmåner</w:t>
      </w:r>
      <w:r w:rsidRPr="004115E6">
        <w:t>.</w:t>
      </w:r>
      <w:r>
        <w:t xml:space="preserve"> </w:t>
      </w:r>
    </w:p>
    <w:p w14:paraId="45C2D3FD" w14:textId="675A8722" w:rsidR="00662434" w:rsidRPr="00907FCC" w:rsidRDefault="00662434" w:rsidP="008A36E6">
      <w:pPr>
        <w:pStyle w:val="Brdtext"/>
        <w:spacing w:line="276" w:lineRule="auto"/>
      </w:pPr>
      <w:r w:rsidRPr="00907FCC">
        <w:t>Vid överföring av försäkringars värde och återköp av en försäkring</w:t>
      </w:r>
      <w:r>
        <w:t xml:space="preserve"> </w:t>
      </w:r>
      <w:r w:rsidR="00866676">
        <w:t xml:space="preserve">bör </w:t>
      </w:r>
      <w:r>
        <w:t>en</w:t>
      </w:r>
      <w:r w:rsidRPr="00907FCC">
        <w:t xml:space="preserve"> avgift tas ut. För </w:t>
      </w:r>
      <w:r w:rsidR="00256017">
        <w:t>individuell</w:t>
      </w:r>
      <w:r>
        <w:t xml:space="preserve"> </w:t>
      </w:r>
      <w:r w:rsidRPr="00907FCC">
        <w:t>försäkring gäller att</w:t>
      </w:r>
      <w:r w:rsidR="00070B9D">
        <w:t xml:space="preserve"> a</w:t>
      </w:r>
      <w:r w:rsidRPr="00907FCC">
        <w:t xml:space="preserve">vgiften får bestämmas så, att två typer av kostnader täcks; företagets direkta kostnader för den administrativa hanteringen av återköp eller </w:t>
      </w:r>
      <w:r>
        <w:t>överföring</w:t>
      </w:r>
      <w:r w:rsidRPr="00907FCC">
        <w:t xml:space="preserve">, beräknade för försäkringar av samma slag, samt sådana kvarstående anskaffningskostnader som är direkt hänförliga till den återköpta försäkringen eller den försäkring vars sparkapital </w:t>
      </w:r>
      <w:r>
        <w:t>har överförts</w:t>
      </w:r>
      <w:r w:rsidRPr="00907FCC">
        <w:t>. Efter tio år från det att försäkringsavtalet ingicks får</w:t>
      </w:r>
      <w:r w:rsidR="003D3007">
        <w:t xml:space="preserve"> dock</w:t>
      </w:r>
      <w:r w:rsidRPr="00907FCC">
        <w:t xml:space="preserve"> avgift för kvarstående anskaffningskostnader inte tas ut.</w:t>
      </w:r>
      <w:r w:rsidR="0062092C">
        <w:t xml:space="preserve"> </w:t>
      </w:r>
      <w:r w:rsidR="00990BCF">
        <w:t xml:space="preserve">För kollektivavtalad försäkring </w:t>
      </w:r>
      <w:r w:rsidR="009019E8">
        <w:t>bör avgiften bestämmas så att företagets direkta kostnader för den administrativa hanteringen av överföringen täcks.</w:t>
      </w:r>
    </w:p>
    <w:p w14:paraId="5E4B7370" w14:textId="16EB7799" w:rsidR="00053CD5" w:rsidRDefault="00053CD5" w:rsidP="008A36E6">
      <w:pPr>
        <w:pStyle w:val="Brdtext"/>
        <w:spacing w:line="276" w:lineRule="auto"/>
      </w:pPr>
      <w:r w:rsidRPr="00907FCC">
        <w:t>Om återköp av försäkringstekniskt överskott tillåts vid partiella</w:t>
      </w:r>
      <w:r w:rsidR="000A2A50">
        <w:t xml:space="preserve"> </w:t>
      </w:r>
      <w:r w:rsidRPr="00907FCC">
        <w:t xml:space="preserve">återköp ska samma andel av försäkringstekniskt överskott utbetalas som andel av tekniskt återköpsvärde. </w:t>
      </w:r>
    </w:p>
    <w:p w14:paraId="1AB7E792" w14:textId="77777777" w:rsidR="001F4EF9" w:rsidRDefault="001F4EF9" w:rsidP="00662434">
      <w:pPr>
        <w:rPr>
          <w:b/>
          <w:color w:val="00B0F0"/>
        </w:rPr>
      </w:pPr>
    </w:p>
    <w:p w14:paraId="6A0318F0" w14:textId="5FAC85C2" w:rsidR="00053CD5" w:rsidRDefault="00053CD5" w:rsidP="00662434">
      <w:pPr>
        <w:rPr>
          <w:b/>
          <w:color w:val="00B0F0"/>
        </w:rPr>
      </w:pPr>
      <w:r w:rsidRPr="00500247">
        <w:rPr>
          <w:b/>
          <w:color w:val="00B0F0"/>
        </w:rPr>
        <w:t>Rätt till</w:t>
      </w:r>
      <w:r w:rsidR="005E0C3F">
        <w:rPr>
          <w:b/>
          <w:color w:val="00B0F0"/>
        </w:rPr>
        <w:t xml:space="preserve"> återköp och</w:t>
      </w:r>
      <w:r w:rsidRPr="00500247">
        <w:rPr>
          <w:b/>
          <w:color w:val="00B0F0"/>
        </w:rPr>
        <w:t xml:space="preserve"> överföring av försäkringars värde</w:t>
      </w:r>
    </w:p>
    <w:p w14:paraId="4CD5DA9E" w14:textId="0F388DEE" w:rsidR="00F165C9" w:rsidRDefault="005A7115" w:rsidP="00EF1DD7">
      <w:pPr>
        <w:pStyle w:val="Brdtext"/>
        <w:spacing w:line="276" w:lineRule="auto"/>
      </w:pPr>
      <w:r>
        <w:t>Allmänt gäller att individuell f</w:t>
      </w:r>
      <w:r w:rsidRPr="00907FCC">
        <w:t>örsäkring som innehåller negativ risksumma</w:t>
      </w:r>
      <w:r>
        <w:t xml:space="preserve"> (försäkring där det finns belopp som tillfaller Företaget när den försäkrade avlider)</w:t>
      </w:r>
      <w:r w:rsidRPr="00907FCC">
        <w:t xml:space="preserve"> får varken återköpas</w:t>
      </w:r>
      <w:r>
        <w:t xml:space="preserve"> eller</w:t>
      </w:r>
      <w:r w:rsidRPr="00907FCC">
        <w:t xml:space="preserve"> överföras. Undantag </w:t>
      </w:r>
      <w:r>
        <w:t>får</w:t>
      </w:r>
      <w:r w:rsidRPr="00907FCC">
        <w:t xml:space="preserve"> dock göras om </w:t>
      </w:r>
      <w:r>
        <w:t>risken är låg</w:t>
      </w:r>
      <w:r w:rsidRPr="00907FCC">
        <w:t>.</w:t>
      </w:r>
      <w:r>
        <w:t xml:space="preserve"> </w:t>
      </w:r>
      <w:r w:rsidR="00F165C9" w:rsidRPr="00F165C9">
        <w:t xml:space="preserve"> </w:t>
      </w:r>
      <w:r w:rsidR="004755A5">
        <w:t>Återköp och ö</w:t>
      </w:r>
      <w:r w:rsidR="00F165C9" w:rsidRPr="00907FCC">
        <w:t>verföringsrätten omfattar endast försäkringar med positivt återköpsvärde</w:t>
      </w:r>
      <w:r w:rsidR="00B221B5">
        <w:t>.</w:t>
      </w:r>
      <w:r w:rsidR="00F165C9" w:rsidRPr="00907FCC">
        <w:t xml:space="preserve"> </w:t>
      </w:r>
    </w:p>
    <w:p w14:paraId="286919E7" w14:textId="48638E36" w:rsidR="00053CD5" w:rsidRPr="00907FCC" w:rsidRDefault="00662434" w:rsidP="00EF1DD7">
      <w:pPr>
        <w:pStyle w:val="Brdtext"/>
        <w:spacing w:line="276" w:lineRule="auto"/>
      </w:pPr>
      <w:r w:rsidRPr="00907FCC">
        <w:t xml:space="preserve">För </w:t>
      </w:r>
      <w:r w:rsidR="00E6255F">
        <w:t xml:space="preserve">individuell </w:t>
      </w:r>
      <w:r w:rsidRPr="00907FCC">
        <w:t>försäkring</w:t>
      </w:r>
      <w:r w:rsidR="00053CD5" w:rsidRPr="00907FCC">
        <w:t xml:space="preserve"> </w:t>
      </w:r>
      <w:r w:rsidR="00842F5E">
        <w:t xml:space="preserve">tecknad </w:t>
      </w:r>
      <w:r w:rsidR="00053CD5" w:rsidRPr="00907FCC">
        <w:t xml:space="preserve">från och med 2002-01-01 </w:t>
      </w:r>
      <w:r w:rsidR="00F5139F">
        <w:t>får</w:t>
      </w:r>
      <w:r w:rsidR="00F5139F" w:rsidRPr="00907FCC">
        <w:t xml:space="preserve"> </w:t>
      </w:r>
      <w:r w:rsidR="00053CD5" w:rsidRPr="00907FCC">
        <w:t>försäkringens värde överföras till en försäkring i ett annat försäkrings</w:t>
      </w:r>
      <w:r w:rsidR="00053CD5">
        <w:t>- eller tjänstepensionsföretag</w:t>
      </w:r>
      <w:r w:rsidR="00053CD5" w:rsidRPr="00907FCC">
        <w:t xml:space="preserve"> eller till en försäkring i </w:t>
      </w:r>
      <w:r w:rsidR="00736B28">
        <w:t>Företaget</w:t>
      </w:r>
      <w:r w:rsidR="00053CD5" w:rsidRPr="00907FCC">
        <w:t xml:space="preserve">, enligt regler som beslutas av vd. </w:t>
      </w:r>
      <w:r w:rsidR="00866676">
        <w:t>F</w:t>
      </w:r>
      <w:r w:rsidR="0057349E">
        <w:t xml:space="preserve">ör </w:t>
      </w:r>
      <w:r w:rsidR="004C47D9">
        <w:t xml:space="preserve">individuell </w:t>
      </w:r>
      <w:r w:rsidR="0057349E">
        <w:t>t</w:t>
      </w:r>
      <w:r w:rsidR="00053CD5" w:rsidRPr="00907FCC">
        <w:t>raditionell försäkring inom f.</w:t>
      </w:r>
      <w:r w:rsidR="00471DFA">
        <w:t xml:space="preserve"> </w:t>
      </w:r>
      <w:r w:rsidR="00053CD5" w:rsidRPr="00907FCC">
        <w:t xml:space="preserve">d </w:t>
      </w:r>
      <w:r w:rsidRPr="00907FCC">
        <w:t xml:space="preserve">KP Pension &amp; Försäkring </w:t>
      </w:r>
      <w:r w:rsidR="00866676">
        <w:t xml:space="preserve">gäller dock motsvarande för försäkring tecknad </w:t>
      </w:r>
      <w:r w:rsidR="0057349E">
        <w:t>f</w:t>
      </w:r>
      <w:r w:rsidR="00053CD5" w:rsidRPr="00907FCC">
        <w:t>rån och med 2007-07-01</w:t>
      </w:r>
      <w:r w:rsidR="0057349E">
        <w:t>.</w:t>
      </w:r>
      <w:r w:rsidR="00053CD5" w:rsidRPr="00907FCC">
        <w:t xml:space="preserve"> </w:t>
      </w:r>
    </w:p>
    <w:p w14:paraId="7383D570" w14:textId="6182DA0C" w:rsidR="001A0E64" w:rsidRPr="00907FCC" w:rsidRDefault="001A0E64" w:rsidP="001A0E64">
      <w:pPr>
        <w:pStyle w:val="Brdtext"/>
        <w:spacing w:line="276" w:lineRule="auto"/>
      </w:pPr>
      <w:r>
        <w:t>A</w:t>
      </w:r>
      <w:r w:rsidRPr="00907FCC">
        <w:t xml:space="preserve">v </w:t>
      </w:r>
      <w:r>
        <w:t>försäkrings</w:t>
      </w:r>
      <w:r w:rsidRPr="00907FCC">
        <w:t>villkoren ska framgå</w:t>
      </w:r>
      <w:r w:rsidR="00E6313E">
        <w:t xml:space="preserve"> om rätt till återköp eller överföring gäller samt</w:t>
      </w:r>
      <w:r w:rsidRPr="00907FCC">
        <w:t xml:space="preserve"> att regler för återköp och överföring kan ändras. Sådana ändringar får dock endast ske</w:t>
      </w:r>
      <w:r>
        <w:t xml:space="preserve"> vid ändrad lagstiftning eller</w:t>
      </w:r>
      <w:r w:rsidRPr="00907FCC">
        <w:t xml:space="preserve"> om de kan anses vara rättvisa gentemot det samlade kvarvarande försäkringsbeståndet.</w:t>
      </w:r>
    </w:p>
    <w:p w14:paraId="1724E3E4" w14:textId="4D8EBC22" w:rsidR="00C326FB" w:rsidRDefault="00053CD5" w:rsidP="00C326FB">
      <w:pPr>
        <w:pStyle w:val="Brdtext"/>
        <w:spacing w:line="276" w:lineRule="auto"/>
      </w:pPr>
      <w:r w:rsidRPr="00907FCC">
        <w:t xml:space="preserve">För kollektivavtalade försäkringar </w:t>
      </w:r>
      <w:r w:rsidR="00D82FC0">
        <w:t>får</w:t>
      </w:r>
      <w:r w:rsidRPr="00907FCC">
        <w:t xml:space="preserve"> annat regelverk, beslutat av kollektivavtalsparterna, gälla. </w:t>
      </w:r>
      <w:r w:rsidR="007A2753" w:rsidRPr="007A2753">
        <w:t xml:space="preserve"> </w:t>
      </w:r>
      <w:r w:rsidR="007A2753">
        <w:t xml:space="preserve"> </w:t>
      </w:r>
      <w:r w:rsidR="00A50F60">
        <w:t>R</w:t>
      </w:r>
      <w:r w:rsidR="00560899">
        <w:t xml:space="preserve">ätt till </w:t>
      </w:r>
      <w:r w:rsidR="009476A2">
        <w:t xml:space="preserve">återköp eller </w:t>
      </w:r>
      <w:r w:rsidR="00560899">
        <w:t>ö</w:t>
      </w:r>
      <w:r w:rsidR="00A50F60">
        <w:t>v</w:t>
      </w:r>
      <w:r w:rsidR="00560899">
        <w:t xml:space="preserve">erföring av </w:t>
      </w:r>
      <w:proofErr w:type="gramStart"/>
      <w:r w:rsidR="00560899">
        <w:t>försäkrings värde</w:t>
      </w:r>
      <w:proofErr w:type="gramEnd"/>
      <w:r w:rsidR="000B06ED">
        <w:t xml:space="preserve"> </w:t>
      </w:r>
      <w:r w:rsidR="00A50F60">
        <w:t>ska framgå av försäkringsvillkoren.</w:t>
      </w:r>
    </w:p>
    <w:p w14:paraId="446307B9" w14:textId="0EE67DD6" w:rsidR="00053CD5" w:rsidRPr="00907FCC" w:rsidRDefault="00053CD5" w:rsidP="00EF1DD7">
      <w:pPr>
        <w:pStyle w:val="Brdtext"/>
        <w:spacing w:line="276" w:lineRule="auto"/>
      </w:pPr>
      <w:r w:rsidRPr="00907FCC">
        <w:t xml:space="preserve">För kollektivavtalade försäkringar gäller att försäkrad som tar tjänst inom EU-administrationen och som tjänar in pension enligt EU:s </w:t>
      </w:r>
      <w:r w:rsidRPr="00907FCC">
        <w:lastRenderedPageBreak/>
        <w:t xml:space="preserve">pensionssystem, har rätt att överföra värdet av sina pensionsrättigheter till detta pensionssystem enligt särskilda bestämmelser i lag. </w:t>
      </w:r>
    </w:p>
    <w:p w14:paraId="262C1BA6" w14:textId="5D62751C" w:rsidR="00662434" w:rsidRPr="00907FCC" w:rsidRDefault="00736B28" w:rsidP="00EF1DD7">
      <w:pPr>
        <w:pStyle w:val="Brdtext"/>
        <w:spacing w:line="276" w:lineRule="auto"/>
      </w:pPr>
      <w:r>
        <w:t>Företaget</w:t>
      </w:r>
      <w:r w:rsidR="00662434" w:rsidRPr="00907FCC">
        <w:t xml:space="preserve"> tillämpar </w:t>
      </w:r>
      <w:r w:rsidR="00662434">
        <w:t xml:space="preserve">för närvarande </w:t>
      </w:r>
      <w:r w:rsidR="00662434" w:rsidRPr="00907FCC">
        <w:t>inte olika principer för kapitalplacering för bestånd med respektive utan överföringsrätt.</w:t>
      </w:r>
    </w:p>
    <w:p w14:paraId="542C96C4" w14:textId="77777777" w:rsidR="00446A71" w:rsidRPr="005A5402" w:rsidRDefault="00446A71" w:rsidP="005A5402">
      <w:pPr>
        <w:rPr>
          <w:b/>
          <w:bCs/>
          <w:color w:val="00B0F0"/>
        </w:rPr>
      </w:pPr>
    </w:p>
    <w:p w14:paraId="3ECDC3CB" w14:textId="0E451778" w:rsidR="00053CD5" w:rsidRDefault="00053CD5" w:rsidP="00662434">
      <w:pPr>
        <w:rPr>
          <w:b/>
          <w:color w:val="00B0F0"/>
        </w:rPr>
      </w:pPr>
      <w:r w:rsidRPr="005A5402">
        <w:rPr>
          <w:b/>
          <w:bCs/>
          <w:color w:val="00B0F0"/>
        </w:rPr>
        <w:t>Rätt</w:t>
      </w:r>
      <w:r w:rsidRPr="00500247">
        <w:rPr>
          <w:b/>
          <w:color w:val="00B0F0"/>
        </w:rPr>
        <w:t xml:space="preserve"> till mottagande av försäkring</w:t>
      </w:r>
      <w:r w:rsidR="004755A5">
        <w:rPr>
          <w:b/>
          <w:color w:val="00B0F0"/>
        </w:rPr>
        <w:t>ars värde</w:t>
      </w:r>
      <w:r w:rsidRPr="00500247">
        <w:rPr>
          <w:b/>
          <w:color w:val="00B0F0"/>
        </w:rPr>
        <w:t xml:space="preserve"> från annat </w:t>
      </w:r>
      <w:r w:rsidR="00E509A1">
        <w:rPr>
          <w:b/>
          <w:color w:val="00B0F0"/>
        </w:rPr>
        <w:t>företag</w:t>
      </w:r>
    </w:p>
    <w:p w14:paraId="210DAE73" w14:textId="77777777" w:rsidR="00403F0A" w:rsidRDefault="00736B28" w:rsidP="00426A62">
      <w:pPr>
        <w:pStyle w:val="Brdtext"/>
        <w:spacing w:line="276" w:lineRule="auto"/>
      </w:pPr>
      <w:r>
        <w:t>Företaget</w:t>
      </w:r>
      <w:r w:rsidR="00053CD5" w:rsidRPr="00907FCC">
        <w:t xml:space="preserve"> kan motta </w:t>
      </w:r>
      <w:r w:rsidR="00642BEB">
        <w:t xml:space="preserve">premiebestämda </w:t>
      </w:r>
      <w:r w:rsidR="00053CD5">
        <w:t>tjänstepensions</w:t>
      </w:r>
      <w:r w:rsidR="00053CD5" w:rsidRPr="00907FCC">
        <w:t>försäkring</w:t>
      </w:r>
      <w:r w:rsidR="00053CD5">
        <w:t>ar</w:t>
      </w:r>
      <w:r w:rsidR="00053CD5" w:rsidRPr="00907FCC">
        <w:t>s värde som överförs från ett annat försäkrings</w:t>
      </w:r>
      <w:r w:rsidR="00053CD5">
        <w:t>- eller tjänstepensionsföretag</w:t>
      </w:r>
      <w:r w:rsidR="00053CD5" w:rsidRPr="00907FCC">
        <w:t xml:space="preserve">. </w:t>
      </w:r>
    </w:p>
    <w:p w14:paraId="184BE4DC" w14:textId="500D334C" w:rsidR="00644EFD" w:rsidRDefault="00644EFD" w:rsidP="00644EFD">
      <w:pPr>
        <w:pStyle w:val="Brdtext"/>
        <w:spacing w:line="276" w:lineRule="auto"/>
      </w:pPr>
      <w:r>
        <w:t xml:space="preserve">Företaget har </w:t>
      </w:r>
      <w:r w:rsidRPr="00907FCC">
        <w:t>rätt att tillämpa regler för fördelning</w:t>
      </w:r>
      <w:r>
        <w:t xml:space="preserve"> av mottaget värde </w:t>
      </w:r>
      <w:r w:rsidRPr="00907FCC">
        <w:t>mellan garanti och överskott.</w:t>
      </w:r>
      <w:r>
        <w:t xml:space="preserve"> D</w:t>
      </w:r>
      <w:r w:rsidRPr="00253985">
        <w:t xml:space="preserve">en andel av </w:t>
      </w:r>
      <w:r>
        <w:t xml:space="preserve">mottaget värde som </w:t>
      </w:r>
      <w:r w:rsidRPr="00253985">
        <w:t>ger</w:t>
      </w:r>
      <w:r>
        <w:t xml:space="preserve"> upphov till </w:t>
      </w:r>
      <w:r w:rsidR="00724C99">
        <w:t>garanterade förmåner</w:t>
      </w:r>
      <w:r>
        <w:t xml:space="preserve"> ska </w:t>
      </w:r>
      <w:r w:rsidR="00724C99">
        <w:t xml:space="preserve">beräknas med samma antaganden </w:t>
      </w:r>
      <w:r>
        <w:t xml:space="preserve">som </w:t>
      </w:r>
      <w:r w:rsidR="00724C99">
        <w:t>gäller</w:t>
      </w:r>
      <w:r>
        <w:t xml:space="preserve"> vid nyteckning.</w:t>
      </w:r>
      <w:r w:rsidRPr="00253985">
        <w:t xml:space="preserve"> </w:t>
      </w:r>
      <w:r w:rsidR="00B34307">
        <w:t>Sammantaget ska antaganden</w:t>
      </w:r>
      <w:r w:rsidR="00F42803">
        <w:t xml:space="preserve"> </w:t>
      </w:r>
      <w:r w:rsidR="00F42803" w:rsidRPr="00907FCC">
        <w:t xml:space="preserve">bestämmas på </w:t>
      </w:r>
      <w:r w:rsidR="00F42803">
        <w:t xml:space="preserve">ett </w:t>
      </w:r>
      <w:r w:rsidR="00F42803" w:rsidRPr="00907FCC">
        <w:t xml:space="preserve">sådant sätt att </w:t>
      </w:r>
      <w:r w:rsidR="00F42803">
        <w:t>F</w:t>
      </w:r>
      <w:r w:rsidR="00F42803" w:rsidRPr="00907FCC">
        <w:t>öretagets soliditet upprätthålls</w:t>
      </w:r>
      <w:r w:rsidR="00F42803">
        <w:t>.</w:t>
      </w:r>
    </w:p>
    <w:p w14:paraId="7E68D7D1" w14:textId="77777777" w:rsidR="00B34316" w:rsidRDefault="00B34316" w:rsidP="00662434">
      <w:pPr>
        <w:rPr>
          <w:b/>
          <w:bCs/>
          <w:color w:val="00B0F0"/>
        </w:rPr>
      </w:pPr>
    </w:p>
    <w:p w14:paraId="05A43930" w14:textId="1367565D" w:rsidR="00053CD5" w:rsidRPr="0089225A" w:rsidRDefault="00736B28" w:rsidP="00662434">
      <w:pPr>
        <w:rPr>
          <w:sz w:val="24"/>
        </w:rPr>
      </w:pPr>
      <w:r w:rsidRPr="005A5402">
        <w:rPr>
          <w:b/>
          <w:bCs/>
          <w:color w:val="00B0F0"/>
        </w:rPr>
        <w:t>Företaget</w:t>
      </w:r>
      <w:r w:rsidR="00E2020C" w:rsidRPr="005A5402">
        <w:rPr>
          <w:b/>
          <w:bCs/>
          <w:color w:val="00B0F0"/>
        </w:rPr>
        <w:t>s</w:t>
      </w:r>
      <w:r w:rsidR="00053CD5" w:rsidRPr="0089225A">
        <w:rPr>
          <w:sz w:val="24"/>
        </w:rPr>
        <w:t xml:space="preserve"> </w:t>
      </w:r>
      <w:r w:rsidR="00053CD5" w:rsidRPr="00282814">
        <w:rPr>
          <w:b/>
          <w:color w:val="00B0F0"/>
        </w:rPr>
        <w:t>rätt att kräva återköp</w:t>
      </w:r>
    </w:p>
    <w:p w14:paraId="08329259" w14:textId="4CDFA064" w:rsidR="00053CD5" w:rsidRDefault="00736B28" w:rsidP="00EF1DD7">
      <w:pPr>
        <w:pStyle w:val="Brdtext"/>
        <w:spacing w:line="276" w:lineRule="auto"/>
      </w:pPr>
      <w:r>
        <w:t>Företaget</w:t>
      </w:r>
      <w:r w:rsidR="00053CD5" w:rsidRPr="00907FCC">
        <w:t xml:space="preserve"> ska förbehålla sig rätten att återköpa försäkring vars tekniska återköpsvärde understiger en viss nivå, där nivån sätts med hänsyn till skattelagstiftningen.</w:t>
      </w:r>
    </w:p>
    <w:p w14:paraId="31B9E765" w14:textId="77777777" w:rsidR="0061477A" w:rsidRPr="005A5402" w:rsidRDefault="0061477A" w:rsidP="005A5402">
      <w:pPr>
        <w:rPr>
          <w:b/>
          <w:bCs/>
          <w:color w:val="00B0F0"/>
        </w:rPr>
      </w:pPr>
    </w:p>
    <w:p w14:paraId="7DDB827B" w14:textId="77777777" w:rsidR="00582A6F" w:rsidRPr="00E04EE0" w:rsidRDefault="00582A6F" w:rsidP="00662434">
      <w:pPr>
        <w:pStyle w:val="Brdtext"/>
      </w:pPr>
    </w:p>
    <w:p w14:paraId="6E9DC40F" w14:textId="0DACF4BB" w:rsidR="00537089" w:rsidRDefault="00E51050" w:rsidP="00537089">
      <w:pPr>
        <w:pStyle w:val="Rubrik2"/>
      </w:pPr>
      <w:bookmarkStart w:id="14" w:name="_Toc229997319"/>
      <w:r w:rsidRPr="00537089">
        <w:t xml:space="preserve">Fördelning </w:t>
      </w:r>
      <w:r w:rsidRPr="00D56D30">
        <w:t xml:space="preserve">av </w:t>
      </w:r>
      <w:r w:rsidR="00E9087A">
        <w:t>överskott</w:t>
      </w:r>
      <w:bookmarkEnd w:id="14"/>
      <w:r w:rsidR="00E9087A" w:rsidRPr="00537089">
        <w:t xml:space="preserve"> </w:t>
      </w:r>
    </w:p>
    <w:p w14:paraId="4D10D2F2" w14:textId="77777777" w:rsidR="006B6520" w:rsidRDefault="006B6520" w:rsidP="006B6520"/>
    <w:p w14:paraId="70744E84" w14:textId="77777777" w:rsidR="00B926D8" w:rsidRPr="00B926D8" w:rsidRDefault="00B926D8" w:rsidP="00B926D8">
      <w:pPr>
        <w:pStyle w:val="Liststycke"/>
        <w:keepNext/>
        <w:keepLines/>
        <w:numPr>
          <w:ilvl w:val="0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5" w:name="_Toc100731680"/>
      <w:bookmarkStart w:id="16" w:name="_Toc100732475"/>
      <w:bookmarkStart w:id="17" w:name="_Toc101179505"/>
      <w:bookmarkStart w:id="18" w:name="_Toc103689394"/>
      <w:bookmarkStart w:id="19" w:name="_Toc103941099"/>
      <w:bookmarkStart w:id="20" w:name="_Toc105141285"/>
      <w:bookmarkStart w:id="21" w:name="_Toc105406891"/>
      <w:bookmarkStart w:id="22" w:name="_Toc105407010"/>
      <w:bookmarkStart w:id="23" w:name="_Toc105412373"/>
      <w:bookmarkStart w:id="24" w:name="_Toc105425828"/>
      <w:bookmarkStart w:id="25" w:name="_Toc115790144"/>
      <w:bookmarkStart w:id="26" w:name="_Toc148426959"/>
      <w:bookmarkStart w:id="27" w:name="_Toc150518135"/>
      <w:bookmarkStart w:id="28" w:name="_Toc151465286"/>
      <w:bookmarkStart w:id="29" w:name="_Toc151465335"/>
      <w:bookmarkStart w:id="30" w:name="_Toc214882898"/>
      <w:bookmarkStart w:id="31" w:name="_Toc229997320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p w14:paraId="2EFD116B" w14:textId="77777777" w:rsidR="00B926D8" w:rsidRPr="00B926D8" w:rsidRDefault="00B926D8" w:rsidP="00B926D8">
      <w:pPr>
        <w:pStyle w:val="Liststycke"/>
        <w:keepNext/>
        <w:keepLines/>
        <w:numPr>
          <w:ilvl w:val="0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32" w:name="_Toc100731681"/>
      <w:bookmarkStart w:id="33" w:name="_Toc100732476"/>
      <w:bookmarkStart w:id="34" w:name="_Toc101179506"/>
      <w:bookmarkStart w:id="35" w:name="_Toc103689395"/>
      <w:bookmarkStart w:id="36" w:name="_Toc103941100"/>
      <w:bookmarkStart w:id="37" w:name="_Toc105141286"/>
      <w:bookmarkStart w:id="38" w:name="_Toc105406892"/>
      <w:bookmarkStart w:id="39" w:name="_Toc105407011"/>
      <w:bookmarkStart w:id="40" w:name="_Toc105412374"/>
      <w:bookmarkStart w:id="41" w:name="_Toc105425829"/>
      <w:bookmarkStart w:id="42" w:name="_Toc115790145"/>
      <w:bookmarkStart w:id="43" w:name="_Toc148426960"/>
      <w:bookmarkStart w:id="44" w:name="_Toc150518136"/>
      <w:bookmarkStart w:id="45" w:name="_Toc151465287"/>
      <w:bookmarkStart w:id="46" w:name="_Toc151465336"/>
      <w:bookmarkStart w:id="47" w:name="_Toc214882899"/>
      <w:bookmarkStart w:id="48" w:name="_Toc22999732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2785A9E3" w14:textId="77777777" w:rsidR="00B926D8" w:rsidRPr="00B926D8" w:rsidRDefault="00B926D8" w:rsidP="00B926D8">
      <w:pPr>
        <w:pStyle w:val="Liststycke"/>
        <w:keepNext/>
        <w:keepLines/>
        <w:numPr>
          <w:ilvl w:val="0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49" w:name="_Toc100731682"/>
      <w:bookmarkStart w:id="50" w:name="_Toc100732477"/>
      <w:bookmarkStart w:id="51" w:name="_Toc101179507"/>
      <w:bookmarkStart w:id="52" w:name="_Toc103689396"/>
      <w:bookmarkStart w:id="53" w:name="_Toc103941101"/>
      <w:bookmarkStart w:id="54" w:name="_Toc105141287"/>
      <w:bookmarkStart w:id="55" w:name="_Toc105406893"/>
      <w:bookmarkStart w:id="56" w:name="_Toc105407012"/>
      <w:bookmarkStart w:id="57" w:name="_Toc105412375"/>
      <w:bookmarkStart w:id="58" w:name="_Toc105425830"/>
      <w:bookmarkStart w:id="59" w:name="_Toc115790146"/>
      <w:bookmarkStart w:id="60" w:name="_Toc148426961"/>
      <w:bookmarkStart w:id="61" w:name="_Toc150518137"/>
      <w:bookmarkStart w:id="62" w:name="_Toc151465288"/>
      <w:bookmarkStart w:id="63" w:name="_Toc151465337"/>
      <w:bookmarkStart w:id="64" w:name="_Toc214882900"/>
      <w:bookmarkStart w:id="65" w:name="_Toc22999732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</w:p>
    <w:p w14:paraId="3865EB93" w14:textId="77777777" w:rsidR="00B926D8" w:rsidRPr="00B926D8" w:rsidRDefault="00B926D8" w:rsidP="00B926D8">
      <w:pPr>
        <w:pStyle w:val="Liststycke"/>
        <w:keepNext/>
        <w:keepLines/>
        <w:numPr>
          <w:ilvl w:val="0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66" w:name="_Toc100731683"/>
      <w:bookmarkStart w:id="67" w:name="_Toc100732478"/>
      <w:bookmarkStart w:id="68" w:name="_Toc101179508"/>
      <w:bookmarkStart w:id="69" w:name="_Toc103689397"/>
      <w:bookmarkStart w:id="70" w:name="_Toc103941102"/>
      <w:bookmarkStart w:id="71" w:name="_Toc105141288"/>
      <w:bookmarkStart w:id="72" w:name="_Toc105406894"/>
      <w:bookmarkStart w:id="73" w:name="_Toc105407013"/>
      <w:bookmarkStart w:id="74" w:name="_Toc105412376"/>
      <w:bookmarkStart w:id="75" w:name="_Toc105425831"/>
      <w:bookmarkStart w:id="76" w:name="_Toc115790147"/>
      <w:bookmarkStart w:id="77" w:name="_Toc148426962"/>
      <w:bookmarkStart w:id="78" w:name="_Toc150518138"/>
      <w:bookmarkStart w:id="79" w:name="_Toc151465289"/>
      <w:bookmarkStart w:id="80" w:name="_Toc151465338"/>
      <w:bookmarkStart w:id="81" w:name="_Toc214882901"/>
      <w:bookmarkStart w:id="82" w:name="_Toc229997323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7F9DFCD7" w14:textId="77777777" w:rsidR="00B926D8" w:rsidRPr="00B926D8" w:rsidRDefault="00B926D8" w:rsidP="00B926D8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83" w:name="_Toc100731684"/>
      <w:bookmarkStart w:id="84" w:name="_Toc100732479"/>
      <w:bookmarkStart w:id="85" w:name="_Toc101179509"/>
      <w:bookmarkStart w:id="86" w:name="_Toc103689398"/>
      <w:bookmarkStart w:id="87" w:name="_Toc103941103"/>
      <w:bookmarkStart w:id="88" w:name="_Toc105141289"/>
      <w:bookmarkStart w:id="89" w:name="_Toc105406895"/>
      <w:bookmarkStart w:id="90" w:name="_Toc105407014"/>
      <w:bookmarkStart w:id="91" w:name="_Toc105412377"/>
      <w:bookmarkStart w:id="92" w:name="_Toc105425832"/>
      <w:bookmarkStart w:id="93" w:name="_Toc115790148"/>
      <w:bookmarkStart w:id="94" w:name="_Toc148426963"/>
      <w:bookmarkStart w:id="95" w:name="_Toc150518139"/>
      <w:bookmarkStart w:id="96" w:name="_Toc151465290"/>
      <w:bookmarkStart w:id="97" w:name="_Toc151465339"/>
      <w:bookmarkStart w:id="98" w:name="_Toc214882902"/>
      <w:bookmarkStart w:id="99" w:name="_Toc229997324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14:paraId="08325BCD" w14:textId="77777777" w:rsidR="00B926D8" w:rsidRPr="00B926D8" w:rsidRDefault="00B926D8" w:rsidP="00B926D8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00" w:name="_Toc100731685"/>
      <w:bookmarkStart w:id="101" w:name="_Toc100732480"/>
      <w:bookmarkStart w:id="102" w:name="_Toc101179510"/>
      <w:bookmarkStart w:id="103" w:name="_Toc103689399"/>
      <w:bookmarkStart w:id="104" w:name="_Toc103941104"/>
      <w:bookmarkStart w:id="105" w:name="_Toc105141290"/>
      <w:bookmarkStart w:id="106" w:name="_Toc105406896"/>
      <w:bookmarkStart w:id="107" w:name="_Toc105407015"/>
      <w:bookmarkStart w:id="108" w:name="_Toc105412378"/>
      <w:bookmarkStart w:id="109" w:name="_Toc105425833"/>
      <w:bookmarkStart w:id="110" w:name="_Toc115790149"/>
      <w:bookmarkStart w:id="111" w:name="_Toc148426964"/>
      <w:bookmarkStart w:id="112" w:name="_Toc150518140"/>
      <w:bookmarkStart w:id="113" w:name="_Toc151465291"/>
      <w:bookmarkStart w:id="114" w:name="_Toc151465340"/>
      <w:bookmarkStart w:id="115" w:name="_Toc214882903"/>
      <w:bookmarkStart w:id="116" w:name="_Toc229997325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6E1B87BD" w14:textId="77777777" w:rsidR="00B926D8" w:rsidRPr="00B926D8" w:rsidRDefault="00B926D8" w:rsidP="00B926D8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17" w:name="_Toc100731686"/>
      <w:bookmarkStart w:id="118" w:name="_Toc100732481"/>
      <w:bookmarkStart w:id="119" w:name="_Toc101179511"/>
      <w:bookmarkStart w:id="120" w:name="_Toc103689400"/>
      <w:bookmarkStart w:id="121" w:name="_Toc103941105"/>
      <w:bookmarkStart w:id="122" w:name="_Toc105141291"/>
      <w:bookmarkStart w:id="123" w:name="_Toc105406897"/>
      <w:bookmarkStart w:id="124" w:name="_Toc105407016"/>
      <w:bookmarkStart w:id="125" w:name="_Toc105412379"/>
      <w:bookmarkStart w:id="126" w:name="_Toc105425834"/>
      <w:bookmarkStart w:id="127" w:name="_Toc115790150"/>
      <w:bookmarkStart w:id="128" w:name="_Toc148426965"/>
      <w:bookmarkStart w:id="129" w:name="_Toc150518141"/>
      <w:bookmarkStart w:id="130" w:name="_Toc151465292"/>
      <w:bookmarkStart w:id="131" w:name="_Toc151465341"/>
      <w:bookmarkStart w:id="132" w:name="_Toc214882904"/>
      <w:bookmarkStart w:id="133" w:name="_Toc22999732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14:paraId="19AD8428" w14:textId="77777777" w:rsidR="00B926D8" w:rsidRPr="00B926D8" w:rsidRDefault="00B926D8" w:rsidP="00B926D8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34" w:name="_Toc100731687"/>
      <w:bookmarkStart w:id="135" w:name="_Toc100732482"/>
      <w:bookmarkStart w:id="136" w:name="_Toc101179512"/>
      <w:bookmarkStart w:id="137" w:name="_Toc103689401"/>
      <w:bookmarkStart w:id="138" w:name="_Toc103941106"/>
      <w:bookmarkStart w:id="139" w:name="_Toc105141292"/>
      <w:bookmarkStart w:id="140" w:name="_Toc105406898"/>
      <w:bookmarkStart w:id="141" w:name="_Toc105407017"/>
      <w:bookmarkStart w:id="142" w:name="_Toc105412380"/>
      <w:bookmarkStart w:id="143" w:name="_Toc105425835"/>
      <w:bookmarkStart w:id="144" w:name="_Toc115790151"/>
      <w:bookmarkStart w:id="145" w:name="_Toc148426966"/>
      <w:bookmarkStart w:id="146" w:name="_Toc150518142"/>
      <w:bookmarkStart w:id="147" w:name="_Toc151465293"/>
      <w:bookmarkStart w:id="148" w:name="_Toc151465342"/>
      <w:bookmarkStart w:id="149" w:name="_Toc214882905"/>
      <w:bookmarkStart w:id="150" w:name="_Toc229997327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</w:p>
    <w:p w14:paraId="46EE713E" w14:textId="3133576B" w:rsidR="006B6520" w:rsidRPr="00C6694C" w:rsidRDefault="006B6520" w:rsidP="00B926D8">
      <w:pPr>
        <w:pStyle w:val="Rubrik2"/>
        <w:numPr>
          <w:ilvl w:val="2"/>
          <w:numId w:val="37"/>
        </w:numPr>
        <w:rPr>
          <w:rStyle w:val="Rubrik3Char"/>
        </w:rPr>
      </w:pPr>
      <w:bookmarkStart w:id="151" w:name="_Toc229997328"/>
      <w:r w:rsidRPr="00C6694C">
        <w:rPr>
          <w:rStyle w:val="Rubrik3Char"/>
        </w:rPr>
        <w:t>Förmånsbestämd försäkring</w:t>
      </w:r>
      <w:bookmarkEnd w:id="151"/>
    </w:p>
    <w:p w14:paraId="447B3A34" w14:textId="79F835F6" w:rsidR="006B6520" w:rsidRPr="00907FCC" w:rsidRDefault="006B6520" w:rsidP="00EF1DD7">
      <w:pPr>
        <w:pStyle w:val="Brdtext"/>
        <w:spacing w:line="276" w:lineRule="auto"/>
      </w:pPr>
      <w:r w:rsidRPr="00907FCC">
        <w:t xml:space="preserve">Återbäring </w:t>
      </w:r>
      <w:r w:rsidR="000F28C6">
        <w:t>kan</w:t>
      </w:r>
      <w:r>
        <w:t xml:space="preserve"> </w:t>
      </w:r>
      <w:r w:rsidRPr="00907FCC">
        <w:t>allokeras som ett pensionstillägg för avtalad ålders-</w:t>
      </w:r>
      <w:r>
        <w:t xml:space="preserve"> och</w:t>
      </w:r>
      <w:r w:rsidRPr="00907FCC">
        <w:t xml:space="preserve"> efterlevande</w:t>
      </w:r>
      <w:r>
        <w:t>pensionsförmån</w:t>
      </w:r>
      <w:r w:rsidRPr="00907FCC">
        <w:t xml:space="preserve"> som är under utbetalning</w:t>
      </w:r>
      <w:r w:rsidR="005A18BB">
        <w:t>.</w:t>
      </w:r>
    </w:p>
    <w:p w14:paraId="4674BF32" w14:textId="77777777" w:rsidR="006B6520" w:rsidRPr="00907FCC" w:rsidRDefault="006B6520" w:rsidP="006B6520">
      <w:pPr>
        <w:pStyle w:val="Brdtext"/>
      </w:pPr>
      <w:r w:rsidRPr="00907FCC">
        <w:t xml:space="preserve">Nivån på pensionstillägg ska i normala fall motsvara ett inflationsskydd. </w:t>
      </w:r>
    </w:p>
    <w:p w14:paraId="07D7C6FF" w14:textId="77777777" w:rsidR="006B6520" w:rsidRPr="005A5402" w:rsidRDefault="006B6520" w:rsidP="005A5402">
      <w:pPr>
        <w:rPr>
          <w:b/>
          <w:bCs/>
          <w:color w:val="00B0F0"/>
        </w:rPr>
      </w:pPr>
    </w:p>
    <w:p w14:paraId="7BF9D257" w14:textId="77777777" w:rsidR="006B6520" w:rsidRPr="00500247" w:rsidRDefault="006B6520" w:rsidP="006B6520">
      <w:pPr>
        <w:rPr>
          <w:b/>
          <w:bCs/>
          <w:color w:val="00B0F0"/>
        </w:rPr>
      </w:pPr>
      <w:r w:rsidRPr="00500247">
        <w:rPr>
          <w:b/>
          <w:bCs/>
          <w:color w:val="00B0F0"/>
        </w:rPr>
        <w:t>Kollektiv konsolideringsnivå</w:t>
      </w:r>
    </w:p>
    <w:p w14:paraId="3A074C2A" w14:textId="41EE39B4" w:rsidR="006B6520" w:rsidRPr="004115E6" w:rsidRDefault="006B6520" w:rsidP="00EF1DD7">
      <w:pPr>
        <w:pStyle w:val="Brdtext"/>
        <w:spacing w:line="276" w:lineRule="auto"/>
      </w:pPr>
      <w:r w:rsidRPr="00907FCC">
        <w:t xml:space="preserve">Kollektiv konsolideringsnivå bestäms genom att verksamhetens tillgångar enligt marknadsvärde relateras till summan av, för varje enskild försäkring, </w:t>
      </w:r>
      <w:r w:rsidR="009C6D0D">
        <w:t>garanterade åtaganden</w:t>
      </w:r>
      <w:r w:rsidR="00F453EE">
        <w:t xml:space="preserve"> </w:t>
      </w:r>
      <w:r w:rsidRPr="00907FCC">
        <w:t xml:space="preserve">plus </w:t>
      </w:r>
      <w:r>
        <w:t xml:space="preserve">värdet av </w:t>
      </w:r>
      <w:r w:rsidRPr="00907FCC">
        <w:t>beslutade pensionstillägg</w:t>
      </w:r>
      <w:r w:rsidR="004827B1">
        <w:t xml:space="preserve"> samt beslutad premiereducering</w:t>
      </w:r>
      <w:r w:rsidRPr="00907FCC">
        <w:t>.</w:t>
      </w:r>
      <w:r w:rsidR="00F453EE">
        <w:t xml:space="preserve"> Värdering av garanterade åtaganden och beslutade pensionstillägg sker med antaganden enligt </w:t>
      </w:r>
      <w:r w:rsidR="00C543C0">
        <w:t>4.2</w:t>
      </w:r>
      <w:r w:rsidR="005B0150">
        <w:t>.</w:t>
      </w:r>
    </w:p>
    <w:p w14:paraId="70DADC6C" w14:textId="77777777" w:rsidR="006B6520" w:rsidRPr="00907FCC" w:rsidRDefault="006B6520" w:rsidP="00EF1DD7">
      <w:pPr>
        <w:pStyle w:val="Brdtext"/>
        <w:spacing w:line="276" w:lineRule="auto"/>
      </w:pPr>
      <w:r w:rsidRPr="00907FCC">
        <w:t>De tillgångar som finns fördelningsbara är totala tillgångar med avdrag för fond för utvecklingsutgifter.</w:t>
      </w:r>
    </w:p>
    <w:p w14:paraId="1B9E8456" w14:textId="5CA0CB0C" w:rsidR="006B6520" w:rsidRPr="00907FCC" w:rsidRDefault="00195612" w:rsidP="00EF1DD7">
      <w:pPr>
        <w:pStyle w:val="Brdtext"/>
        <w:spacing w:line="276" w:lineRule="auto"/>
      </w:pPr>
      <w:bookmarkStart w:id="152" w:name="_Hlk104462576"/>
      <w:r>
        <w:t>K</w:t>
      </w:r>
      <w:r w:rsidR="006B6520" w:rsidRPr="00907FCC">
        <w:t>ollektiva konsolideringsnivå</w:t>
      </w:r>
      <w:r w:rsidR="00A768EF">
        <w:t>n</w:t>
      </w:r>
      <w:r w:rsidR="006B6520" w:rsidRPr="00907FCC">
        <w:t xml:space="preserve"> ska minst uppgå till 125 procent. Om konsolideringsnivån understiger gränsen (125 procent), ska åtgärder vidtas i syfte att skapa förutsättningar för att konsolideringsnivån återgår till över 125 procent. Åtgärderna ska minst beakta förväntad avkastning, utvecklingen på kapitalmarknaden, särdrag i beståndet samt </w:t>
      </w:r>
      <w:r w:rsidR="00E509A1">
        <w:t>företag</w:t>
      </w:r>
      <w:r w:rsidR="00E509A1" w:rsidRPr="00907FCC">
        <w:t xml:space="preserve">ets </w:t>
      </w:r>
      <w:r w:rsidR="006B6520" w:rsidRPr="00907FCC">
        <w:t xml:space="preserve">soliditet. </w:t>
      </w:r>
    </w:p>
    <w:p w14:paraId="75958480" w14:textId="11390CA0" w:rsidR="006B6520" w:rsidRDefault="006B6520" w:rsidP="00EF1DD7">
      <w:pPr>
        <w:pStyle w:val="Brdtext"/>
        <w:spacing w:line="276" w:lineRule="auto"/>
      </w:pPr>
      <w:r w:rsidRPr="00907FCC">
        <w:lastRenderedPageBreak/>
        <w:t xml:space="preserve">Inom 12 månader efter det att gränsen (125 procent) </w:t>
      </w:r>
      <w:r w:rsidR="006078B1" w:rsidRPr="00907FCC">
        <w:t>unders</w:t>
      </w:r>
      <w:r w:rsidR="006078B1">
        <w:t>tegs</w:t>
      </w:r>
      <w:r w:rsidR="006078B1" w:rsidRPr="00907FCC">
        <w:t xml:space="preserve"> </w:t>
      </w:r>
      <w:r w:rsidRPr="00907FCC">
        <w:t>ska en plan tas fram för återställande av konsolideringen till en nivå över gränsen. Den beslutade planen ska i sin tur vara genomförd inom ytterligare 12 månader.</w:t>
      </w:r>
    </w:p>
    <w:p w14:paraId="52D863BB" w14:textId="41328D4D" w:rsidR="00157F05" w:rsidRDefault="006D733F" w:rsidP="00157F05">
      <w:pPr>
        <w:pStyle w:val="Brdtext"/>
        <w:spacing w:line="276" w:lineRule="auto"/>
      </w:pPr>
      <w:r>
        <w:t>Vid</w:t>
      </w:r>
      <w:r w:rsidR="00147C8C">
        <w:t xml:space="preserve"> k</w:t>
      </w:r>
      <w:r w:rsidR="00157F05">
        <w:t>onsolideringspåverkande åtgärder som ger en sänkt konsolideringsnivå ska följande prioritetsordning</w:t>
      </w:r>
      <w:r>
        <w:t xml:space="preserve"> gälla</w:t>
      </w:r>
      <w:r w:rsidR="00157F05">
        <w:t>:</w:t>
      </w:r>
    </w:p>
    <w:p w14:paraId="5276EBFA" w14:textId="77777777" w:rsidR="00157F05" w:rsidRDefault="00157F05" w:rsidP="00157F05">
      <w:pPr>
        <w:pStyle w:val="Brdtext"/>
        <w:numPr>
          <w:ilvl w:val="0"/>
          <w:numId w:val="48"/>
        </w:numPr>
        <w:spacing w:line="276" w:lineRule="auto"/>
      </w:pPr>
      <w:r>
        <w:t>Värdesäkring av pensionstillägg</w:t>
      </w:r>
    </w:p>
    <w:p w14:paraId="3747B701" w14:textId="77777777" w:rsidR="00157F05" w:rsidRDefault="00157F05" w:rsidP="00157F05">
      <w:pPr>
        <w:pStyle w:val="Brdtext"/>
        <w:numPr>
          <w:ilvl w:val="0"/>
          <w:numId w:val="48"/>
        </w:numPr>
        <w:spacing w:line="276" w:lineRule="auto"/>
      </w:pPr>
      <w:r>
        <w:t>Fribrevsuppräkning</w:t>
      </w:r>
    </w:p>
    <w:p w14:paraId="55446B64" w14:textId="77777777" w:rsidR="00157F05" w:rsidRDefault="00157F05" w:rsidP="00157F05">
      <w:pPr>
        <w:pStyle w:val="Brdtext"/>
        <w:numPr>
          <w:ilvl w:val="0"/>
          <w:numId w:val="48"/>
        </w:numPr>
        <w:spacing w:line="276" w:lineRule="auto"/>
      </w:pPr>
      <w:r>
        <w:t>Premiereducering</w:t>
      </w:r>
    </w:p>
    <w:p w14:paraId="51A77806" w14:textId="7496098E" w:rsidR="00962CA9" w:rsidRDefault="006B6520" w:rsidP="00EF1DD7">
      <w:pPr>
        <w:pStyle w:val="Brdtext"/>
        <w:spacing w:line="276" w:lineRule="auto"/>
      </w:pPr>
      <w:bookmarkStart w:id="153" w:name="_Hlk170736740"/>
      <w:bookmarkEnd w:id="152"/>
      <w:r w:rsidRPr="00907FCC">
        <w:t xml:space="preserve">Om konsolideringsnivån överstiger 160 procent ska styrelsen informeras årligen och </w:t>
      </w:r>
      <w:r w:rsidR="00466E03">
        <w:t xml:space="preserve">ytterligare </w:t>
      </w:r>
      <w:r w:rsidRPr="00907FCC">
        <w:t xml:space="preserve">åtgärder </w:t>
      </w:r>
      <w:r w:rsidR="00157F05">
        <w:t xml:space="preserve">som kontantutbetalning </w:t>
      </w:r>
      <w:r w:rsidRPr="00907FCC">
        <w:t xml:space="preserve">kan behöva vidtas. </w:t>
      </w:r>
    </w:p>
    <w:bookmarkEnd w:id="153"/>
    <w:p w14:paraId="5A953DE4" w14:textId="53B716F4" w:rsidR="006B6520" w:rsidRPr="00907FCC" w:rsidRDefault="006B6520" w:rsidP="00EF1DD7">
      <w:pPr>
        <w:pStyle w:val="Brdtext"/>
        <w:spacing w:line="276" w:lineRule="auto"/>
      </w:pPr>
      <w:r w:rsidRPr="00907FCC">
        <w:t>Denna policy ska ses över regelbundet och vid behov anpassas till rådande förutsättningar</w:t>
      </w:r>
      <w:r w:rsidR="007557CF">
        <w:t>.</w:t>
      </w:r>
    </w:p>
    <w:p w14:paraId="6351747B" w14:textId="77777777" w:rsidR="006B6520" w:rsidRPr="006B6520" w:rsidRDefault="006B6520" w:rsidP="0072257C"/>
    <w:p w14:paraId="404A446E" w14:textId="6927172B" w:rsidR="00C6694C" w:rsidRPr="00C6694C" w:rsidRDefault="00C6694C" w:rsidP="007C70BC">
      <w:pPr>
        <w:pStyle w:val="Rubrik2"/>
        <w:numPr>
          <w:ilvl w:val="2"/>
          <w:numId w:val="37"/>
        </w:numPr>
        <w:rPr>
          <w:rStyle w:val="Rubrik3Char"/>
        </w:rPr>
      </w:pPr>
      <w:bookmarkStart w:id="154" w:name="_Toc100404325"/>
      <w:bookmarkStart w:id="155" w:name="_Toc100589285"/>
      <w:bookmarkStart w:id="156" w:name="_Toc100674567"/>
      <w:bookmarkStart w:id="157" w:name="_Toc100674611"/>
      <w:bookmarkStart w:id="158" w:name="_Toc229997329"/>
      <w:bookmarkEnd w:id="154"/>
      <w:bookmarkEnd w:id="155"/>
      <w:bookmarkEnd w:id="156"/>
      <w:bookmarkEnd w:id="157"/>
      <w:r w:rsidRPr="00C6694C">
        <w:rPr>
          <w:rStyle w:val="Rubrik3Char"/>
        </w:rPr>
        <w:t>Premiebestämd försäkring</w:t>
      </w:r>
      <w:bookmarkEnd w:id="158"/>
    </w:p>
    <w:p w14:paraId="514B62B8" w14:textId="03927315" w:rsidR="00C6694C" w:rsidRPr="00907FCC" w:rsidRDefault="00CB683C" w:rsidP="00EF1DD7">
      <w:pPr>
        <w:pStyle w:val="Brdtext"/>
        <w:spacing w:line="276" w:lineRule="auto"/>
      </w:pPr>
      <w:r>
        <w:t>F</w:t>
      </w:r>
      <w:r w:rsidRPr="00907FCC">
        <w:t xml:space="preserve">ör </w:t>
      </w:r>
      <w:r w:rsidR="00C6694C" w:rsidRPr="00907FCC">
        <w:t xml:space="preserve">traditionella försäkringar med avkastningsgaranti </w:t>
      </w:r>
      <w:r w:rsidR="00C76ACE">
        <w:t xml:space="preserve">ska </w:t>
      </w:r>
      <w:r w:rsidR="00C6694C" w:rsidRPr="00907FCC">
        <w:t xml:space="preserve">ett försäkringskapital </w:t>
      </w:r>
      <w:r w:rsidR="00F20E82">
        <w:t xml:space="preserve">– </w:t>
      </w:r>
      <w:r w:rsidR="00C6694C" w:rsidRPr="00907FCC">
        <w:t>en så kallad retrospektivreserv</w:t>
      </w:r>
      <w:r w:rsidR="00C76ACE">
        <w:t xml:space="preserve"> </w:t>
      </w:r>
      <w:r w:rsidR="00AF0D7A">
        <w:t xml:space="preserve">– allokeras </w:t>
      </w:r>
      <w:r w:rsidR="00C76ACE">
        <w:t>i</w:t>
      </w:r>
      <w:r w:rsidR="00C76ACE" w:rsidRPr="00907FCC">
        <w:t xml:space="preserve"> enlighet med försäkringsvillkoren</w:t>
      </w:r>
      <w:r w:rsidR="00C6694C" w:rsidRPr="00907FCC">
        <w:t xml:space="preserve">. Retrospektivreserven </w:t>
      </w:r>
      <w:r w:rsidR="00FF656C">
        <w:t xml:space="preserve">ska </w:t>
      </w:r>
      <w:r w:rsidR="00C6694C" w:rsidRPr="00907FCC">
        <w:t xml:space="preserve">successivt </w:t>
      </w:r>
      <w:r w:rsidR="00FF656C">
        <w:t>be</w:t>
      </w:r>
      <w:r w:rsidR="00FF656C" w:rsidRPr="00907FCC">
        <w:t xml:space="preserve">räknas </w:t>
      </w:r>
      <w:r w:rsidR="00C6694C" w:rsidRPr="00907FCC">
        <w:t xml:space="preserve">fram med ledning av </w:t>
      </w:r>
      <w:r w:rsidR="00736B28">
        <w:t>Företaget</w:t>
      </w:r>
      <w:r w:rsidR="00C6694C">
        <w:t>s</w:t>
      </w:r>
      <w:r w:rsidR="00C6694C" w:rsidRPr="00907FCC">
        <w:t xml:space="preserve"> erfarenhetsmässiga utfall avseende skatt, dödlighet och driftskostnader samt med beslutad återbäringsränta. Metoden </w:t>
      </w:r>
      <w:r w:rsidR="00616D5F">
        <w:t xml:space="preserve">ska </w:t>
      </w:r>
      <w:r w:rsidR="00C6694C" w:rsidRPr="00907FCC">
        <w:t>möjliggör</w:t>
      </w:r>
      <w:r w:rsidR="00616D5F">
        <w:t>a</w:t>
      </w:r>
      <w:r w:rsidR="00C6694C" w:rsidRPr="00907FCC">
        <w:t xml:space="preserve"> att fördelning av överskott på enskild försäkring kan ske enligt </w:t>
      </w:r>
      <w:r w:rsidR="00E509A1">
        <w:t>försäkrings</w:t>
      </w:r>
      <w:r w:rsidR="00C6694C" w:rsidRPr="00907FCC">
        <w:t>villkoren, kontributionsprincipen och i förekommande fall gällande skälighetsprincip.</w:t>
      </w:r>
    </w:p>
    <w:p w14:paraId="10D00B9D" w14:textId="77777777" w:rsidR="00C6694C" w:rsidRPr="00627362" w:rsidRDefault="00C6694C" w:rsidP="00C6694C">
      <w:pPr>
        <w:rPr>
          <w:i/>
          <w:iCs/>
          <w:color w:val="00B0F0"/>
        </w:rPr>
      </w:pPr>
      <w:r w:rsidRPr="00627362">
        <w:rPr>
          <w:i/>
          <w:iCs/>
          <w:color w:val="00B0F0"/>
        </w:rPr>
        <w:t>Avkastning</w:t>
      </w:r>
    </w:p>
    <w:p w14:paraId="185A42CE" w14:textId="77777777" w:rsidR="00C6694C" w:rsidRPr="00907FCC" w:rsidRDefault="00C6694C" w:rsidP="00EF1DD7">
      <w:pPr>
        <w:pStyle w:val="Brdtext"/>
        <w:spacing w:line="276" w:lineRule="auto"/>
      </w:pPr>
      <w:r w:rsidRPr="00907FCC">
        <w:t>Bestämningen av återbäringsräntan</w:t>
      </w:r>
      <w:r>
        <w:t xml:space="preserve"> för traditionell försäkring med avkastningsgaranti</w:t>
      </w:r>
      <w:r w:rsidRPr="00907FCC">
        <w:t xml:space="preserve"> följer av vad som sägs i avsnittet om kollektiv konsolideringsnivå.</w:t>
      </w:r>
    </w:p>
    <w:p w14:paraId="59C19839" w14:textId="24558FEC" w:rsidR="00C6694C" w:rsidRDefault="00C6694C" w:rsidP="00EF1DD7">
      <w:pPr>
        <w:pStyle w:val="Brdtext"/>
        <w:spacing w:line="276" w:lineRule="auto"/>
      </w:pPr>
      <w:r w:rsidRPr="00907FCC">
        <w:t xml:space="preserve">För </w:t>
      </w:r>
      <w:r>
        <w:t>försäkringar</w:t>
      </w:r>
      <w:r w:rsidRPr="00907FCC">
        <w:t xml:space="preserve"> med premiegaranti </w:t>
      </w:r>
      <w:r w:rsidR="001C318B">
        <w:t xml:space="preserve">ska </w:t>
      </w:r>
      <w:r w:rsidRPr="00907FCC">
        <w:t>en avkastningsfördelning</w:t>
      </w:r>
      <w:r>
        <w:t xml:space="preserve"> utan utjämning i tiden</w:t>
      </w:r>
      <w:r w:rsidR="001C318B">
        <w:t xml:space="preserve"> </w:t>
      </w:r>
      <w:r w:rsidR="001C318B" w:rsidRPr="00907FCC">
        <w:t>tillämpas</w:t>
      </w:r>
      <w:r w:rsidRPr="00907FCC">
        <w:t xml:space="preserve">. </w:t>
      </w:r>
    </w:p>
    <w:p w14:paraId="70CE8C4D" w14:textId="2AC51DE8" w:rsidR="00C6694C" w:rsidRPr="00627362" w:rsidRDefault="00C6694C" w:rsidP="00C6694C">
      <w:pPr>
        <w:rPr>
          <w:i/>
          <w:iCs/>
          <w:color w:val="00B0F0"/>
        </w:rPr>
      </w:pPr>
      <w:r w:rsidRPr="00627362">
        <w:rPr>
          <w:i/>
          <w:iCs/>
          <w:color w:val="00B0F0"/>
        </w:rPr>
        <w:t>Driftskostnad</w:t>
      </w:r>
      <w:r w:rsidR="00512AC1">
        <w:rPr>
          <w:i/>
          <w:iCs/>
          <w:color w:val="00B0F0"/>
        </w:rPr>
        <w:t>er</w:t>
      </w:r>
    </w:p>
    <w:p w14:paraId="69A0AFF9" w14:textId="4896E608" w:rsidR="00D14EE9" w:rsidRDefault="00C6694C" w:rsidP="00C12633">
      <w:pPr>
        <w:pStyle w:val="Brdtext"/>
        <w:spacing w:line="276" w:lineRule="auto"/>
      </w:pPr>
      <w:r w:rsidRPr="008E265A">
        <w:t xml:space="preserve">Tillämpad belastning för driftskostnad ska syfta till att täcka </w:t>
      </w:r>
      <w:r w:rsidR="00736B28">
        <w:t>Företaget</w:t>
      </w:r>
      <w:r>
        <w:t>s</w:t>
      </w:r>
      <w:r w:rsidRPr="008E265A">
        <w:t xml:space="preserve"> beräknade faktiska driftskostnader.</w:t>
      </w:r>
      <w:r w:rsidR="00F62DCC" w:rsidRPr="00F62DCC">
        <w:t xml:space="preserve"> </w:t>
      </w:r>
      <w:r w:rsidR="00F62DCC">
        <w:t>Hänsyn ska tas till osäkerhet.</w:t>
      </w:r>
    </w:p>
    <w:p w14:paraId="3EE94967" w14:textId="6003937A" w:rsidR="00C6694C" w:rsidRPr="004115E6" w:rsidRDefault="00D14EE9" w:rsidP="00C12633">
      <w:pPr>
        <w:pStyle w:val="Brdtext"/>
        <w:spacing w:line="276" w:lineRule="auto"/>
      </w:pPr>
      <w:r w:rsidRPr="007E2AB7">
        <w:t xml:space="preserve">Vid beräkning av antaganden om driftskostnader ska hänsyn tas till </w:t>
      </w:r>
      <w:r>
        <w:t xml:space="preserve">ett </w:t>
      </w:r>
      <w:proofErr w:type="spellStart"/>
      <w:r w:rsidRPr="007E2AB7">
        <w:t>annullationsantagande</w:t>
      </w:r>
      <w:proofErr w:type="spellEnd"/>
      <w:r w:rsidRPr="007E2AB7">
        <w:t xml:space="preserve">, som bygger på </w:t>
      </w:r>
      <w:r w:rsidR="00736B28">
        <w:t>Företaget</w:t>
      </w:r>
      <w:r>
        <w:t>s</w:t>
      </w:r>
      <w:r w:rsidRPr="007E2AB7">
        <w:t xml:space="preserve"> aktuella erfarenhet för motsvarande typ av försäkringar</w:t>
      </w:r>
      <w:r>
        <w:t>.</w:t>
      </w:r>
      <w:r w:rsidR="00C6694C" w:rsidRPr="008E265A">
        <w:t xml:space="preserve"> Belastningar sker genom metoder som syftar till en skälig fördelning av driftskostnader mellan olika grupper av försäkringar och förs</w:t>
      </w:r>
      <w:r w:rsidR="00C6694C" w:rsidRPr="004115E6">
        <w:t>äkrade.</w:t>
      </w:r>
      <w:r w:rsidR="00401A81">
        <w:t xml:space="preserve"> </w:t>
      </w:r>
    </w:p>
    <w:p w14:paraId="3E7C0910" w14:textId="77777777" w:rsidR="00C6694C" w:rsidRPr="00627362" w:rsidRDefault="00C6694C" w:rsidP="00C6694C">
      <w:pPr>
        <w:rPr>
          <w:i/>
          <w:iCs/>
          <w:color w:val="00B0F0"/>
        </w:rPr>
      </w:pPr>
      <w:r w:rsidRPr="00627362">
        <w:rPr>
          <w:i/>
          <w:iCs/>
          <w:color w:val="00B0F0"/>
        </w:rPr>
        <w:t>Skatt</w:t>
      </w:r>
    </w:p>
    <w:p w14:paraId="37747E82" w14:textId="5B85AE56" w:rsidR="00C6694C" w:rsidRPr="00907FCC" w:rsidRDefault="00C6694C" w:rsidP="00C12633">
      <w:pPr>
        <w:pStyle w:val="Brdtext"/>
        <w:spacing w:line="276" w:lineRule="auto"/>
      </w:pPr>
      <w:r w:rsidRPr="00907FCC">
        <w:t xml:space="preserve">Tillämpad belastning för skatt ska syfta till att motsvara </w:t>
      </w:r>
      <w:r w:rsidR="00736B28">
        <w:t>Företaget</w:t>
      </w:r>
      <w:r>
        <w:t>s</w:t>
      </w:r>
      <w:r w:rsidRPr="00907FCC">
        <w:t xml:space="preserve"> skattekostnad för fördelat kapital</w:t>
      </w:r>
      <w:r w:rsidR="00257771">
        <w:t>.</w:t>
      </w:r>
    </w:p>
    <w:p w14:paraId="4F4B13F6" w14:textId="77777777" w:rsidR="00C6694C" w:rsidRPr="00627362" w:rsidRDefault="00C6694C" w:rsidP="00C6694C">
      <w:pPr>
        <w:rPr>
          <w:i/>
          <w:iCs/>
          <w:color w:val="00B0F0"/>
        </w:rPr>
      </w:pPr>
      <w:r w:rsidRPr="00627362">
        <w:rPr>
          <w:i/>
          <w:iCs/>
          <w:color w:val="00B0F0"/>
        </w:rPr>
        <w:lastRenderedPageBreak/>
        <w:t>Dödlighet</w:t>
      </w:r>
    </w:p>
    <w:p w14:paraId="0E499A3D" w14:textId="77777777" w:rsidR="00C6694C" w:rsidRPr="00907FCC" w:rsidRDefault="00C6694C" w:rsidP="00C12633">
      <w:pPr>
        <w:pStyle w:val="Brdtext"/>
        <w:spacing w:line="276" w:lineRule="auto"/>
      </w:pPr>
      <w:r w:rsidRPr="00907FCC">
        <w:t>Tillämpade dödlighetsantaganden ska syfta till att motsvara det faktiska dödlighetsutfallet. Utjämning mellan åren får ske.</w:t>
      </w:r>
    </w:p>
    <w:p w14:paraId="2565F949" w14:textId="77777777" w:rsidR="00C6694C" w:rsidRPr="00627362" w:rsidRDefault="00C6694C" w:rsidP="00C6694C">
      <w:pPr>
        <w:rPr>
          <w:i/>
          <w:iCs/>
          <w:color w:val="00B0F0"/>
        </w:rPr>
      </w:pPr>
      <w:r w:rsidRPr="00627362">
        <w:rPr>
          <w:i/>
          <w:iCs/>
          <w:color w:val="00B0F0"/>
        </w:rPr>
        <w:t>Beräkning av tilläggsbelopp</w:t>
      </w:r>
    </w:p>
    <w:p w14:paraId="54191FE3" w14:textId="327DFE52" w:rsidR="00C6694C" w:rsidRPr="00907FCC" w:rsidRDefault="00C6694C" w:rsidP="00C12633">
      <w:pPr>
        <w:pStyle w:val="Brdtext"/>
        <w:spacing w:line="276" w:lineRule="auto"/>
      </w:pPr>
      <w:r w:rsidRPr="00907FCC">
        <w:t xml:space="preserve">När en försäkring med sparande ska börja betalas ut beräknar </w:t>
      </w:r>
      <w:r w:rsidR="00736B28">
        <w:t>Företaget</w:t>
      </w:r>
      <w:r w:rsidRPr="00907FCC">
        <w:t xml:space="preserve"> om försäkringen ger rätt till återbäring och i så fall med hur stort belopp. Se Periodisk utbetalning.</w:t>
      </w:r>
    </w:p>
    <w:p w14:paraId="483F4D17" w14:textId="77777777" w:rsidR="00A91FBD" w:rsidRDefault="00A91FBD" w:rsidP="00C6694C">
      <w:pPr>
        <w:rPr>
          <w:b/>
          <w:bCs/>
          <w:color w:val="00B0F0"/>
        </w:rPr>
      </w:pPr>
    </w:p>
    <w:p w14:paraId="278C7E08" w14:textId="44F6B9B6" w:rsidR="00C6694C" w:rsidRPr="00500247" w:rsidRDefault="00C6694C" w:rsidP="00C6694C">
      <w:pPr>
        <w:rPr>
          <w:b/>
          <w:bCs/>
          <w:color w:val="00B0F0"/>
        </w:rPr>
      </w:pPr>
      <w:r w:rsidRPr="00500247">
        <w:rPr>
          <w:b/>
          <w:bCs/>
          <w:color w:val="00B0F0"/>
        </w:rPr>
        <w:t>Kollektiv konsolideringsnivå</w:t>
      </w:r>
    </w:p>
    <w:p w14:paraId="53CBC33C" w14:textId="2C0285EB" w:rsidR="00C6694C" w:rsidRPr="00907FCC" w:rsidRDefault="00C6694C" w:rsidP="00C12633">
      <w:pPr>
        <w:pStyle w:val="Brdtext"/>
        <w:spacing w:line="276" w:lineRule="auto"/>
      </w:pPr>
      <w:r w:rsidRPr="00907FCC">
        <w:t xml:space="preserve">Kollektiv konsolidering </w:t>
      </w:r>
      <w:r w:rsidR="00C953D6">
        <w:t xml:space="preserve">ska </w:t>
      </w:r>
      <w:r w:rsidRPr="00907FCC">
        <w:t xml:space="preserve">räknas fram som tillgångar enligt marknadsvärde i förhållande till de totala åtagandena till </w:t>
      </w:r>
      <w:r w:rsidR="00AA57A6">
        <w:t>de försäkrade och andra ersättningsberättigade</w:t>
      </w:r>
      <w:r w:rsidRPr="00907FCC">
        <w:t xml:space="preserve"> (summan av det högsta av tekniskt återköpsvärde, försäkringsteknisk avsättning, retrospektivreserv och prognosreserv för varje enskild försäkring). Ingen försäkring får räknas som tillgång.</w:t>
      </w:r>
    </w:p>
    <w:p w14:paraId="68056878" w14:textId="4567E536" w:rsidR="00C6694C" w:rsidRPr="00907FCC" w:rsidRDefault="00C6694C" w:rsidP="00C12633">
      <w:pPr>
        <w:pStyle w:val="Brdtext"/>
        <w:spacing w:line="276" w:lineRule="auto"/>
      </w:pPr>
      <w:r w:rsidRPr="00907FCC">
        <w:t>De tillgångar som finns fördelningsbara är totala tillgångar med avdrag för fond för utvecklingsutgifter.</w:t>
      </w:r>
    </w:p>
    <w:p w14:paraId="441CEAD8" w14:textId="77777777" w:rsidR="0008355F" w:rsidRDefault="0008355F" w:rsidP="00C6694C">
      <w:pPr>
        <w:rPr>
          <w:b/>
          <w:bCs/>
          <w:color w:val="00B0F0"/>
        </w:rPr>
      </w:pPr>
    </w:p>
    <w:p w14:paraId="4ED81040" w14:textId="54E72FAD" w:rsidR="00C6694C" w:rsidRPr="00500247" w:rsidRDefault="00C6694C" w:rsidP="00C6694C">
      <w:pPr>
        <w:rPr>
          <w:b/>
          <w:bCs/>
          <w:color w:val="00B0F0"/>
        </w:rPr>
      </w:pPr>
      <w:r w:rsidRPr="00500247">
        <w:rPr>
          <w:b/>
          <w:bCs/>
          <w:color w:val="00B0F0"/>
        </w:rPr>
        <w:t xml:space="preserve">Försäkring med avkastningsgaranti </w:t>
      </w:r>
    </w:p>
    <w:p w14:paraId="51F43A32" w14:textId="77777777" w:rsidR="00C6694C" w:rsidRPr="00907FCC" w:rsidRDefault="00C6694C" w:rsidP="00C12633">
      <w:pPr>
        <w:pStyle w:val="Brdtext"/>
        <w:spacing w:line="276" w:lineRule="auto"/>
      </w:pPr>
      <w:r w:rsidRPr="00907FCC">
        <w:t>Den kollektiva konsolideringen ska ligga mellan 100 och 120 procent. Målnivån för den kollektiva konsolideringen är 112 procent.</w:t>
      </w:r>
    </w:p>
    <w:p w14:paraId="52837D5A" w14:textId="77777777" w:rsidR="00F955EC" w:rsidRDefault="00C6694C" w:rsidP="00C12633">
      <w:pPr>
        <w:pStyle w:val="Brdtext"/>
        <w:spacing w:line="276" w:lineRule="auto"/>
      </w:pPr>
      <w:r w:rsidRPr="00907FCC">
        <w:t xml:space="preserve">Återbäringsräntan </w:t>
      </w:r>
      <w:r>
        <w:t xml:space="preserve">ska </w:t>
      </w:r>
      <w:r w:rsidRPr="00907FCC">
        <w:t>fastställ</w:t>
      </w:r>
      <w:r>
        <w:t>a</w:t>
      </w:r>
      <w:r w:rsidRPr="00907FCC">
        <w:t xml:space="preserve">s </w:t>
      </w:r>
      <w:r w:rsidR="007B333E">
        <w:t>i</w:t>
      </w:r>
      <w:r w:rsidR="00CC2B90">
        <w:t xml:space="preserve"> </w:t>
      </w:r>
      <w:r w:rsidR="007B333E">
        <w:t>syfte att hålla</w:t>
      </w:r>
      <w:r w:rsidR="00CC2B90">
        <w:t xml:space="preserve"> den kollektiva konsolideringen mellan</w:t>
      </w:r>
      <w:r w:rsidRPr="00907FCC">
        <w:t xml:space="preserve"> 100 och 120 procent. </w:t>
      </w:r>
    </w:p>
    <w:p w14:paraId="43804D87" w14:textId="0F76901E" w:rsidR="00C6694C" w:rsidRPr="00907FCC" w:rsidRDefault="00C6694C" w:rsidP="00C12633">
      <w:pPr>
        <w:pStyle w:val="Brdtext"/>
        <w:spacing w:line="276" w:lineRule="auto"/>
      </w:pPr>
      <w:r w:rsidRPr="00907FCC">
        <w:t xml:space="preserve">Fastställandet av återbäringsräntan görs i två steg: </w:t>
      </w:r>
    </w:p>
    <w:p w14:paraId="2C2B0FE8" w14:textId="2BF35CB6" w:rsidR="00C6694C" w:rsidRPr="004115E6" w:rsidRDefault="00C6694C" w:rsidP="00D42FB2">
      <w:pPr>
        <w:pStyle w:val="Brdtext"/>
        <w:numPr>
          <w:ilvl w:val="0"/>
          <w:numId w:val="49"/>
        </w:numPr>
        <w:spacing w:line="276" w:lineRule="auto"/>
      </w:pPr>
      <w:r w:rsidRPr="004115E6">
        <w:t>En kalkylränta beräknas utifrån aktuell kollektiv konsolidering och förväntad avkastning. En utjämning mot målnivån ska ske över normalt 36 månader om kollektiv konsolidering ligger i intervallet 100</w:t>
      </w:r>
      <w:r w:rsidR="00C830FA">
        <w:t xml:space="preserve"> </w:t>
      </w:r>
      <w:r w:rsidRPr="004115E6">
        <w:t>-</w:t>
      </w:r>
      <w:r w:rsidR="00C830FA">
        <w:t xml:space="preserve"> </w:t>
      </w:r>
      <w:r w:rsidRPr="004115E6">
        <w:t xml:space="preserve">120 procent. Om kollektiv konsolidering </w:t>
      </w:r>
      <w:r w:rsidR="0006262C">
        <w:t>avviker från konsolideringsintervallet</w:t>
      </w:r>
      <w:r w:rsidRPr="004115E6">
        <w:t xml:space="preserve"> ska</w:t>
      </w:r>
      <w:r w:rsidR="005A2F92">
        <w:t xml:space="preserve"> </w:t>
      </w:r>
      <w:r w:rsidR="001738B1">
        <w:t>utjämningstiden för kalkylräntan sättas kortare i avsikt att snabbare återföra</w:t>
      </w:r>
      <w:r w:rsidR="005A2F92">
        <w:t xml:space="preserve"> den kollektiva konsolideringen till intervallet</w:t>
      </w:r>
      <w:r w:rsidRPr="004115E6">
        <w:t>.</w:t>
      </w:r>
    </w:p>
    <w:p w14:paraId="0B0E0549" w14:textId="3C83BD04" w:rsidR="00C6694C" w:rsidRPr="004115E6" w:rsidRDefault="00C6694C" w:rsidP="00D42FB2">
      <w:pPr>
        <w:pStyle w:val="Brdtext"/>
        <w:numPr>
          <w:ilvl w:val="0"/>
          <w:numId w:val="49"/>
        </w:numPr>
        <w:spacing w:line="276" w:lineRule="auto"/>
      </w:pPr>
      <w:r w:rsidRPr="004115E6">
        <w:t xml:space="preserve">Återbäringsräntan väljs med kalkylräntan som utgångspunkt. </w:t>
      </w:r>
      <w:r w:rsidR="00B87C9B">
        <w:t>Vidare</w:t>
      </w:r>
      <w:r w:rsidRPr="004115E6">
        <w:t xml:space="preserve"> ska hänsyn även tas till utvecklingen på kapitalmarknaden samt andra faktorer som kan påverka den framtida </w:t>
      </w:r>
      <w:r w:rsidR="00E741FF">
        <w:t>kollektiva konsolideringsnivån</w:t>
      </w:r>
      <w:r w:rsidRPr="004115E6">
        <w:t xml:space="preserve">.  </w:t>
      </w:r>
    </w:p>
    <w:p w14:paraId="382F867D" w14:textId="03FED8B2" w:rsidR="00C6694C" w:rsidRPr="00907FCC" w:rsidRDefault="00C6694C" w:rsidP="00C12633">
      <w:pPr>
        <w:pStyle w:val="Brdtext"/>
        <w:spacing w:line="276" w:lineRule="auto"/>
      </w:pPr>
      <w:r w:rsidRPr="00907FCC">
        <w:t xml:space="preserve">Rätt till överföring av en </w:t>
      </w:r>
      <w:proofErr w:type="gramStart"/>
      <w:r w:rsidRPr="00907FCC">
        <w:t>försäkrings värde</w:t>
      </w:r>
      <w:proofErr w:type="gramEnd"/>
      <w:r w:rsidRPr="00907FCC">
        <w:t xml:space="preserve"> </w:t>
      </w:r>
      <w:r w:rsidR="005B68E8">
        <w:t xml:space="preserve">ska inte </w:t>
      </w:r>
      <w:r w:rsidRPr="00907FCC">
        <w:t xml:space="preserve">påverka fördelningen av överskott. </w:t>
      </w:r>
    </w:p>
    <w:p w14:paraId="53CED5B4" w14:textId="355EADEE" w:rsidR="00C6694C" w:rsidRPr="00907FCC" w:rsidRDefault="00C6694C" w:rsidP="00C12633">
      <w:pPr>
        <w:pStyle w:val="Brdtext"/>
        <w:spacing w:line="276" w:lineRule="auto"/>
      </w:pPr>
      <w:r>
        <w:t xml:space="preserve">Om behov uppstår har </w:t>
      </w:r>
      <w:r w:rsidR="00736B28">
        <w:t>Företaget</w:t>
      </w:r>
      <w:r>
        <w:t xml:space="preserve"> möjlighet att tillämpa differentierad återbäringsränta med avseende på bland annat tecknandetidpunkt, premieinbetalningstidpunkt</w:t>
      </w:r>
      <w:r w:rsidR="639E7503">
        <w:t xml:space="preserve"> eller</w:t>
      </w:r>
      <w:r>
        <w:t xml:space="preserve"> duration. Om en eller flera källor visar underskott ska även detta beaktas vid beräkningen</w:t>
      </w:r>
      <w:r w:rsidR="0090287F">
        <w:t>.</w:t>
      </w:r>
    </w:p>
    <w:p w14:paraId="50684BDE" w14:textId="77777777" w:rsidR="00C6694C" w:rsidRPr="00907FCC" w:rsidRDefault="00C6694C" w:rsidP="00C12633">
      <w:pPr>
        <w:pStyle w:val="Brdtext"/>
        <w:spacing w:line="276" w:lineRule="auto"/>
      </w:pPr>
      <w:r w:rsidRPr="00907FCC">
        <w:lastRenderedPageBreak/>
        <w:t xml:space="preserve">Om den kollektiva konsolideringen överstiger den övre gränsen (120 procent) i mer än tolv månader ska en plan tas fram med syfte att återställa konsolideringen till en nivå inom intervallet inom tolv månader. </w:t>
      </w:r>
    </w:p>
    <w:p w14:paraId="6BC6DCDC" w14:textId="0C4354D6" w:rsidR="00C6694C" w:rsidRPr="00907FCC" w:rsidRDefault="00C6694C" w:rsidP="00C12633">
      <w:pPr>
        <w:pStyle w:val="Brdtext"/>
        <w:spacing w:line="276" w:lineRule="auto"/>
      </w:pPr>
      <w:r w:rsidRPr="00907FCC">
        <w:t xml:space="preserve">Om den kollektiva konsolideringen understiger den nedre gränsen (100 procent) i mer än sex månader ska en </w:t>
      </w:r>
      <w:proofErr w:type="spellStart"/>
      <w:r w:rsidRPr="00907FCC">
        <w:t>engångsreallokering</w:t>
      </w:r>
      <w:proofErr w:type="spellEnd"/>
      <w:r w:rsidRPr="00907FCC">
        <w:t xml:space="preserve"> ske inom </w:t>
      </w:r>
      <w:r w:rsidR="00B40CF5">
        <w:t xml:space="preserve">18 </w:t>
      </w:r>
      <w:r w:rsidRPr="00907FCC">
        <w:t xml:space="preserve">månader. En </w:t>
      </w:r>
      <w:proofErr w:type="spellStart"/>
      <w:r w:rsidRPr="00907FCC">
        <w:t>engångsreallokering</w:t>
      </w:r>
      <w:proofErr w:type="spellEnd"/>
      <w:r w:rsidRPr="00907FCC">
        <w:t xml:space="preserve"> ska syfta till att den kollektiva konsolideringen når nivån 104 procent. </w:t>
      </w:r>
    </w:p>
    <w:p w14:paraId="615FCE94" w14:textId="77777777" w:rsidR="00C6694C" w:rsidRPr="00907FCC" w:rsidRDefault="00C6694C" w:rsidP="00C12633">
      <w:pPr>
        <w:pStyle w:val="Brdtext"/>
        <w:spacing w:line="276" w:lineRule="auto"/>
      </w:pPr>
      <w:r w:rsidRPr="00907FCC">
        <w:t xml:space="preserve">Vid en </w:t>
      </w:r>
      <w:proofErr w:type="spellStart"/>
      <w:r w:rsidRPr="00907FCC">
        <w:t>engångsreallokering</w:t>
      </w:r>
      <w:proofErr w:type="spellEnd"/>
      <w:r w:rsidRPr="00907FCC">
        <w:t xml:space="preserve"> ska</w:t>
      </w:r>
    </w:p>
    <w:p w14:paraId="0F6C447D" w14:textId="7ED1B143" w:rsidR="00C6694C" w:rsidRDefault="00C6694C" w:rsidP="00741A12">
      <w:pPr>
        <w:pStyle w:val="Brdtext"/>
        <w:numPr>
          <w:ilvl w:val="0"/>
          <w:numId w:val="42"/>
        </w:numPr>
        <w:spacing w:line="276" w:lineRule="auto"/>
      </w:pPr>
      <w:r w:rsidRPr="00907FCC">
        <w:t xml:space="preserve">retrospektivreserven </w:t>
      </w:r>
      <w:r w:rsidR="009734F9">
        <w:t xml:space="preserve">för enskilda </w:t>
      </w:r>
      <w:r w:rsidR="00CB7BB1">
        <w:t xml:space="preserve">försäkringar </w:t>
      </w:r>
      <w:r w:rsidRPr="00907FCC">
        <w:t xml:space="preserve">inte öka. </w:t>
      </w:r>
    </w:p>
    <w:p w14:paraId="1AF553F9" w14:textId="77777777" w:rsidR="00802B24" w:rsidRPr="00907FCC" w:rsidRDefault="00802B24" w:rsidP="00802B24">
      <w:pPr>
        <w:pStyle w:val="Brdtext"/>
        <w:numPr>
          <w:ilvl w:val="0"/>
          <w:numId w:val="42"/>
        </w:numPr>
        <w:spacing w:line="276" w:lineRule="auto"/>
      </w:pPr>
      <w:r w:rsidRPr="00907FCC">
        <w:t>retrospektivreserven minskas med viss andel i förhållande till aktuell eller tidigare retrospektivreserv. Andelen kan vara olika för olika bestånd.</w:t>
      </w:r>
    </w:p>
    <w:p w14:paraId="2710BE4E" w14:textId="0FA3F016" w:rsidR="00741A12" w:rsidRPr="00907FCC" w:rsidRDefault="00741A12" w:rsidP="00741A12">
      <w:pPr>
        <w:pStyle w:val="Brdtext"/>
        <w:numPr>
          <w:ilvl w:val="0"/>
          <w:numId w:val="42"/>
        </w:numPr>
        <w:spacing w:line="276" w:lineRule="auto"/>
      </w:pPr>
      <w:r w:rsidRPr="00907FCC">
        <w:t>tekniskt återköpsvärde</w:t>
      </w:r>
      <w:r w:rsidR="00A355B4">
        <w:t>,</w:t>
      </w:r>
      <w:r>
        <w:t xml:space="preserve"> i förekommande fall</w:t>
      </w:r>
      <w:r w:rsidR="00A355B4">
        <w:t>,</w:t>
      </w:r>
      <w:r>
        <w:t xml:space="preserve"> </w:t>
      </w:r>
      <w:r w:rsidRPr="00907FCC">
        <w:t xml:space="preserve">inte förändras. </w:t>
      </w:r>
    </w:p>
    <w:p w14:paraId="647123AA" w14:textId="3936FBD3" w:rsidR="00C6694C" w:rsidRPr="00907FCC" w:rsidRDefault="00C6694C" w:rsidP="00C6694C">
      <w:pPr>
        <w:pStyle w:val="Brdtext"/>
        <w:spacing w:line="276" w:lineRule="auto"/>
      </w:pPr>
      <w:r w:rsidRPr="00907FCC">
        <w:t xml:space="preserve">Principer för, och beslut om, </w:t>
      </w:r>
      <w:proofErr w:type="spellStart"/>
      <w:r w:rsidRPr="00907FCC">
        <w:t>engångsreallokering</w:t>
      </w:r>
      <w:proofErr w:type="spellEnd"/>
      <w:r w:rsidR="005817A2">
        <w:t xml:space="preserve"> ska</w:t>
      </w:r>
      <w:r w:rsidRPr="00907FCC">
        <w:t xml:space="preserve"> fattas av styrelsen.</w:t>
      </w:r>
    </w:p>
    <w:p w14:paraId="6372129D" w14:textId="77777777" w:rsidR="00C6694C" w:rsidRPr="005A5402" w:rsidRDefault="00C6694C" w:rsidP="005A5402">
      <w:pPr>
        <w:rPr>
          <w:b/>
          <w:bCs/>
          <w:color w:val="00B0F0"/>
        </w:rPr>
      </w:pPr>
    </w:p>
    <w:p w14:paraId="18C7164E" w14:textId="1AA6E52C" w:rsidR="00C6694C" w:rsidRPr="00500247" w:rsidRDefault="00C6694C" w:rsidP="00C6694C">
      <w:pPr>
        <w:rPr>
          <w:b/>
          <w:bCs/>
          <w:color w:val="00B0F0"/>
        </w:rPr>
      </w:pPr>
      <w:r w:rsidRPr="00500247">
        <w:rPr>
          <w:b/>
          <w:bCs/>
          <w:color w:val="00B0F0"/>
        </w:rPr>
        <w:t xml:space="preserve">Försäkring med premiegaranti </w:t>
      </w:r>
    </w:p>
    <w:p w14:paraId="28AF7E49" w14:textId="77777777" w:rsidR="00C6694C" w:rsidRPr="00907FCC" w:rsidRDefault="00C6694C" w:rsidP="00EF1DD7">
      <w:pPr>
        <w:pStyle w:val="Brdtext"/>
        <w:spacing w:line="276" w:lineRule="auto"/>
      </w:pPr>
      <w:r w:rsidRPr="00907FCC">
        <w:t>För försäkringar med premiegaranti är målet att konsolideringen vid varje tidpunkt ska ligga på 100 procent.</w:t>
      </w:r>
    </w:p>
    <w:p w14:paraId="1E5C2D87" w14:textId="77777777" w:rsidR="00C6694C" w:rsidRPr="00C6694C" w:rsidRDefault="00C6694C" w:rsidP="00C6694C"/>
    <w:p w14:paraId="69001FF7" w14:textId="77777777" w:rsidR="00E51050" w:rsidRPr="00907FCC" w:rsidRDefault="00E51050" w:rsidP="00E51050">
      <w:pPr>
        <w:pStyle w:val="Brdtext"/>
      </w:pPr>
    </w:p>
    <w:p w14:paraId="258F75EE" w14:textId="23EC314B" w:rsidR="00C6694C" w:rsidRDefault="00134DA0" w:rsidP="00134DA0">
      <w:pPr>
        <w:pStyle w:val="Rubrik2"/>
      </w:pPr>
      <w:bookmarkStart w:id="159" w:name="_Toc229997330"/>
      <w:r>
        <w:t>Tilldelning av återbäring</w:t>
      </w:r>
      <w:bookmarkEnd w:id="159"/>
      <w:r w:rsidR="008F0F82">
        <w:t xml:space="preserve"> </w:t>
      </w:r>
    </w:p>
    <w:p w14:paraId="48A7D170" w14:textId="77777777" w:rsidR="00446A71" w:rsidRPr="00446A71" w:rsidRDefault="00446A71" w:rsidP="00446A71"/>
    <w:p w14:paraId="18299FCD" w14:textId="77777777" w:rsidR="007C70BC" w:rsidRPr="007C70BC" w:rsidRDefault="007C70BC" w:rsidP="007C70BC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60" w:name="_Toc100404336"/>
      <w:bookmarkStart w:id="161" w:name="_Toc100589296"/>
      <w:bookmarkStart w:id="162" w:name="_Toc100674577"/>
      <w:bookmarkStart w:id="163" w:name="_Toc100674621"/>
      <w:bookmarkStart w:id="164" w:name="_Toc100731691"/>
      <w:bookmarkStart w:id="165" w:name="_Toc100732486"/>
      <w:bookmarkStart w:id="166" w:name="_Toc101179516"/>
      <w:bookmarkStart w:id="167" w:name="_Toc103689405"/>
      <w:bookmarkStart w:id="168" w:name="_Toc103941110"/>
      <w:bookmarkStart w:id="169" w:name="_Toc105141296"/>
      <w:bookmarkStart w:id="170" w:name="_Toc105406902"/>
      <w:bookmarkStart w:id="171" w:name="_Toc105407021"/>
      <w:bookmarkStart w:id="172" w:name="_Toc105412384"/>
      <w:bookmarkStart w:id="173" w:name="_Toc105425839"/>
      <w:bookmarkStart w:id="174" w:name="_Toc115790155"/>
      <w:bookmarkStart w:id="175" w:name="_Toc148426970"/>
      <w:bookmarkStart w:id="176" w:name="_Toc150518146"/>
      <w:bookmarkStart w:id="177" w:name="_Toc151465297"/>
      <w:bookmarkStart w:id="178" w:name="_Toc151465346"/>
      <w:bookmarkStart w:id="179" w:name="_Toc214882909"/>
      <w:bookmarkStart w:id="180" w:name="_Toc229997331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14:paraId="4992C3E5" w14:textId="476F695B" w:rsidR="00134DA0" w:rsidRPr="007C70BC" w:rsidRDefault="008F0F82" w:rsidP="007C70BC">
      <w:pPr>
        <w:pStyle w:val="Rubrik2"/>
        <w:numPr>
          <w:ilvl w:val="2"/>
          <w:numId w:val="37"/>
        </w:numPr>
        <w:rPr>
          <w:rStyle w:val="Rubrik3Char"/>
        </w:rPr>
      </w:pPr>
      <w:bookmarkStart w:id="181" w:name="_Toc229997332"/>
      <w:r w:rsidRPr="00C6694C">
        <w:rPr>
          <w:rStyle w:val="Rubrik3Char"/>
        </w:rPr>
        <w:t>Förmånsbestämd försäkring</w:t>
      </w:r>
      <w:bookmarkEnd w:id="181"/>
    </w:p>
    <w:p w14:paraId="17BED354" w14:textId="77777777" w:rsidR="00134DA0" w:rsidRPr="00907FCC" w:rsidRDefault="00134DA0" w:rsidP="00134DA0">
      <w:pPr>
        <w:pStyle w:val="Brdtext"/>
      </w:pPr>
      <w:r w:rsidRPr="00907FCC">
        <w:t>Allokerad återbäring i form av pensionstillägg tilldelas vid utbetalning.</w:t>
      </w:r>
    </w:p>
    <w:p w14:paraId="0EBE09A5" w14:textId="77777777" w:rsidR="00134DA0" w:rsidRPr="00907FCC" w:rsidRDefault="00134DA0" w:rsidP="00134DA0">
      <w:pPr>
        <w:pStyle w:val="Brdtext"/>
      </w:pPr>
    </w:p>
    <w:p w14:paraId="2B84C766" w14:textId="77777777" w:rsidR="00134DA0" w:rsidRDefault="00134DA0" w:rsidP="00EF1DD7">
      <w:pPr>
        <w:pStyle w:val="Brdtext"/>
        <w:spacing w:line="276" w:lineRule="auto"/>
      </w:pPr>
      <w:r w:rsidRPr="00907FCC">
        <w:t>Återbäring kan även</w:t>
      </w:r>
    </w:p>
    <w:p w14:paraId="1FE26055" w14:textId="08118489" w:rsidR="00134DA0" w:rsidRDefault="00134DA0" w:rsidP="007259BC">
      <w:pPr>
        <w:pStyle w:val="Brdtext"/>
        <w:numPr>
          <w:ilvl w:val="0"/>
          <w:numId w:val="43"/>
        </w:numPr>
        <w:spacing w:line="276" w:lineRule="auto"/>
      </w:pPr>
      <w:r w:rsidRPr="00907FCC">
        <w:t xml:space="preserve">tilldelas genom </w:t>
      </w:r>
      <w:r>
        <w:t xml:space="preserve">fribrevsuppräkning av intjänade fribrev för avtal för vilka det fortfarande betalas premier. Fribrevsuppräkning medför ökat garanterat åtagande och sänkt avtalad premie </w:t>
      </w:r>
    </w:p>
    <w:p w14:paraId="2849AB23" w14:textId="77777777" w:rsidR="007259BC" w:rsidRDefault="007259BC" w:rsidP="007259BC">
      <w:pPr>
        <w:pStyle w:val="Brdtext"/>
        <w:numPr>
          <w:ilvl w:val="0"/>
          <w:numId w:val="43"/>
        </w:numPr>
        <w:spacing w:line="276" w:lineRule="auto"/>
      </w:pPr>
      <w:r w:rsidRPr="00907FCC">
        <w:t xml:space="preserve">tilldelas genom fribrevsuppräkning </w:t>
      </w:r>
      <w:r>
        <w:t xml:space="preserve">av intjänade fribrev för avtal där premiebetalningen upphört. Fribrevsuppräkning medför ökat garanterat åtagande. </w:t>
      </w:r>
    </w:p>
    <w:p w14:paraId="58241155" w14:textId="6101C4A1" w:rsidR="007259BC" w:rsidRDefault="007259BC" w:rsidP="007259BC">
      <w:pPr>
        <w:pStyle w:val="Brdtext"/>
        <w:numPr>
          <w:ilvl w:val="0"/>
          <w:numId w:val="43"/>
        </w:numPr>
        <w:spacing w:line="276" w:lineRule="auto"/>
      </w:pPr>
      <w:r w:rsidRPr="004B0D34">
        <w:t>tilldelas genom sänkning av avtalad</w:t>
      </w:r>
      <w:r>
        <w:t>e</w:t>
      </w:r>
      <w:r w:rsidRPr="004B0D34">
        <w:t xml:space="preserve"> premier (premier</w:t>
      </w:r>
      <w:r>
        <w:t>educering</w:t>
      </w:r>
      <w:r w:rsidRPr="004B0D34">
        <w:t>)</w:t>
      </w:r>
      <w:r w:rsidR="00BE19B3">
        <w:t>.</w:t>
      </w:r>
      <w:r w:rsidRPr="004B0D34">
        <w:t xml:space="preserve"> </w:t>
      </w:r>
    </w:p>
    <w:p w14:paraId="7757038A" w14:textId="77777777" w:rsidR="007259BC" w:rsidRDefault="007259BC" w:rsidP="007259BC">
      <w:pPr>
        <w:pStyle w:val="Brdtext"/>
        <w:spacing w:line="276" w:lineRule="auto"/>
      </w:pPr>
    </w:p>
    <w:p w14:paraId="39CEE3DE" w14:textId="7D91616C" w:rsidR="00134DA0" w:rsidRPr="00907FCC" w:rsidRDefault="00736B28" w:rsidP="00EF1DD7">
      <w:pPr>
        <w:pStyle w:val="Brdtext"/>
        <w:spacing w:line="276" w:lineRule="auto"/>
      </w:pPr>
      <w:r>
        <w:t>Företaget</w:t>
      </w:r>
      <w:r w:rsidR="00134DA0" w:rsidRPr="004B0D34">
        <w:t xml:space="preserve"> kan besluta om annan återbäring som motiveras av den </w:t>
      </w:r>
      <w:r w:rsidR="00134DA0">
        <w:t xml:space="preserve">kollektiva konsolideringsnivån för förmånsbestämda försäkringar samt av den </w:t>
      </w:r>
      <w:r w:rsidR="00134DA0" w:rsidRPr="00907FCC">
        <w:t xml:space="preserve">ekonomiska situationen i </w:t>
      </w:r>
      <w:r>
        <w:t>Företaget</w:t>
      </w:r>
      <w:r w:rsidR="00134DA0">
        <w:t xml:space="preserve"> som helhet</w:t>
      </w:r>
      <w:r w:rsidR="00134DA0" w:rsidRPr="00907FCC">
        <w:t>.</w:t>
      </w:r>
    </w:p>
    <w:p w14:paraId="5086F7A7" w14:textId="212C29EC" w:rsidR="00134DA0" w:rsidRDefault="00134DA0" w:rsidP="00EF1DD7">
      <w:pPr>
        <w:pStyle w:val="Brdtext"/>
        <w:spacing w:line="276" w:lineRule="auto"/>
      </w:pPr>
      <w:r w:rsidRPr="00907FCC">
        <w:lastRenderedPageBreak/>
        <w:t xml:space="preserve">Nivån på fribrevsuppräkning ska i normala fall motsvara ett inflationsskydd. </w:t>
      </w:r>
    </w:p>
    <w:p w14:paraId="2525CD16" w14:textId="77777777" w:rsidR="00A87ECD" w:rsidRDefault="00A87ECD" w:rsidP="00134DA0">
      <w:pPr>
        <w:pStyle w:val="Brdtext"/>
      </w:pPr>
    </w:p>
    <w:p w14:paraId="42E9F1B9" w14:textId="49D837DC" w:rsidR="00A87ECD" w:rsidRPr="007C70BC" w:rsidRDefault="00A87ECD" w:rsidP="007C70BC">
      <w:pPr>
        <w:pStyle w:val="Rubrik2"/>
        <w:numPr>
          <w:ilvl w:val="2"/>
          <w:numId w:val="37"/>
        </w:numPr>
        <w:rPr>
          <w:rStyle w:val="Rubrik3Char"/>
        </w:rPr>
      </w:pPr>
      <w:bookmarkStart w:id="182" w:name="_Toc229997333"/>
      <w:r>
        <w:rPr>
          <w:rStyle w:val="Rubrik3Char"/>
        </w:rPr>
        <w:t>Premie</w:t>
      </w:r>
      <w:r w:rsidRPr="00C6694C">
        <w:rPr>
          <w:rStyle w:val="Rubrik3Char"/>
        </w:rPr>
        <w:t>bestämd försäkring</w:t>
      </w:r>
      <w:bookmarkEnd w:id="182"/>
    </w:p>
    <w:p w14:paraId="5C278CF0" w14:textId="77777777" w:rsidR="00A87ECD" w:rsidRDefault="00A87ECD" w:rsidP="00A87ECD">
      <w:pPr>
        <w:pStyle w:val="Brdtext"/>
      </w:pPr>
      <w:r w:rsidRPr="00907FCC">
        <w:t>Återbäring i form av tilläggsbelopp tilldelas vid utbetalning.</w:t>
      </w:r>
    </w:p>
    <w:p w14:paraId="54EB2642" w14:textId="77777777" w:rsidR="00A87ECD" w:rsidRDefault="00A87ECD" w:rsidP="00134DA0">
      <w:pPr>
        <w:pStyle w:val="Brdtext"/>
      </w:pPr>
    </w:p>
    <w:p w14:paraId="74B28926" w14:textId="77777777" w:rsidR="00DB40C3" w:rsidRPr="00907FCC" w:rsidRDefault="00DB40C3" w:rsidP="00134DA0">
      <w:pPr>
        <w:pStyle w:val="Brdtext"/>
      </w:pPr>
    </w:p>
    <w:p w14:paraId="383FB3F6" w14:textId="714EA2A3" w:rsidR="00F46115" w:rsidRDefault="00F46115" w:rsidP="006023EC">
      <w:pPr>
        <w:pStyle w:val="Rubrik2"/>
      </w:pPr>
      <w:bookmarkStart w:id="183" w:name="_Toc229997334"/>
      <w:r>
        <w:t>Periodisk utbetalning</w:t>
      </w:r>
      <w:bookmarkEnd w:id="183"/>
      <w:r>
        <w:t xml:space="preserve"> </w:t>
      </w:r>
    </w:p>
    <w:p w14:paraId="77F15CE7" w14:textId="77777777" w:rsidR="00446A71" w:rsidRPr="00446A71" w:rsidRDefault="00446A71" w:rsidP="00446A71"/>
    <w:p w14:paraId="569B99FA" w14:textId="77777777" w:rsidR="007C70BC" w:rsidRPr="007C70BC" w:rsidRDefault="007C70BC" w:rsidP="007C70BC">
      <w:pPr>
        <w:pStyle w:val="Liststycke"/>
        <w:keepNext/>
        <w:keepLines/>
        <w:numPr>
          <w:ilvl w:val="1"/>
          <w:numId w:val="37"/>
        </w:numPr>
        <w:spacing w:after="120"/>
        <w:contextualSpacing w:val="0"/>
        <w:outlineLvl w:val="1"/>
        <w:rPr>
          <w:rStyle w:val="Rubrik3Char"/>
          <w:b w:val="0"/>
          <w:bCs w:val="0"/>
          <w:vanish/>
        </w:rPr>
      </w:pPr>
      <w:bookmarkStart w:id="184" w:name="_Toc100404340"/>
      <w:bookmarkStart w:id="185" w:name="_Toc100589300"/>
      <w:bookmarkStart w:id="186" w:name="_Toc100674581"/>
      <w:bookmarkStart w:id="187" w:name="_Toc100674625"/>
      <w:bookmarkStart w:id="188" w:name="_Toc100731695"/>
      <w:bookmarkStart w:id="189" w:name="_Toc100732490"/>
      <w:bookmarkStart w:id="190" w:name="_Toc101179520"/>
      <w:bookmarkStart w:id="191" w:name="_Toc103689409"/>
      <w:bookmarkStart w:id="192" w:name="_Toc103941114"/>
      <w:bookmarkStart w:id="193" w:name="_Toc105141300"/>
      <w:bookmarkStart w:id="194" w:name="_Toc105406906"/>
      <w:bookmarkStart w:id="195" w:name="_Toc105407025"/>
      <w:bookmarkStart w:id="196" w:name="_Toc105412388"/>
      <w:bookmarkStart w:id="197" w:name="_Toc105425843"/>
      <w:bookmarkStart w:id="198" w:name="_Toc115790159"/>
      <w:bookmarkStart w:id="199" w:name="_Toc148426974"/>
      <w:bookmarkStart w:id="200" w:name="_Toc150518150"/>
      <w:bookmarkStart w:id="201" w:name="_Toc151465301"/>
      <w:bookmarkStart w:id="202" w:name="_Toc151465350"/>
      <w:bookmarkStart w:id="203" w:name="_Toc214882913"/>
      <w:bookmarkStart w:id="204" w:name="_Toc229997335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p w14:paraId="7DDB9F04" w14:textId="42F89C93" w:rsidR="00965769" w:rsidRPr="007C70BC" w:rsidRDefault="00965769" w:rsidP="007C70BC">
      <w:pPr>
        <w:pStyle w:val="Rubrik2"/>
        <w:numPr>
          <w:ilvl w:val="2"/>
          <w:numId w:val="37"/>
        </w:numPr>
        <w:rPr>
          <w:rStyle w:val="Rubrik3Char"/>
        </w:rPr>
      </w:pPr>
      <w:bookmarkStart w:id="205" w:name="_Toc229997336"/>
      <w:r>
        <w:rPr>
          <w:rStyle w:val="Rubrik3Char"/>
        </w:rPr>
        <w:t>Förmåns</w:t>
      </w:r>
      <w:r w:rsidRPr="00C6694C">
        <w:rPr>
          <w:rStyle w:val="Rubrik3Char"/>
        </w:rPr>
        <w:t>bestämd försäkring</w:t>
      </w:r>
      <w:bookmarkEnd w:id="205"/>
    </w:p>
    <w:p w14:paraId="7EE7B92F" w14:textId="3C37DA6D" w:rsidR="00F46115" w:rsidRPr="004115E6" w:rsidRDefault="00F46115" w:rsidP="00F46115">
      <w:pPr>
        <w:pStyle w:val="Brdtext"/>
      </w:pPr>
      <w:r w:rsidRPr="00907FCC">
        <w:t>Överskott är satt under försäkringsteknisk risk under hela försäkringstiden</w:t>
      </w:r>
      <w:r w:rsidR="00CC42AD">
        <w:t>.</w:t>
      </w:r>
    </w:p>
    <w:p w14:paraId="74B128BC" w14:textId="77777777" w:rsidR="00457026" w:rsidRPr="00457026" w:rsidRDefault="00457026" w:rsidP="00457026"/>
    <w:p w14:paraId="63903E22" w14:textId="160D42A0" w:rsidR="00057D66" w:rsidRPr="007C70BC" w:rsidRDefault="00057D66" w:rsidP="007C70BC">
      <w:pPr>
        <w:pStyle w:val="Rubrik2"/>
        <w:numPr>
          <w:ilvl w:val="2"/>
          <w:numId w:val="37"/>
        </w:numPr>
        <w:rPr>
          <w:rStyle w:val="Rubrik3Char"/>
        </w:rPr>
      </w:pPr>
      <w:bookmarkStart w:id="206" w:name="_Toc229997337"/>
      <w:r>
        <w:rPr>
          <w:rStyle w:val="Rubrik3Char"/>
        </w:rPr>
        <w:t>Premie</w:t>
      </w:r>
      <w:r w:rsidRPr="00C6694C">
        <w:rPr>
          <w:rStyle w:val="Rubrik3Char"/>
        </w:rPr>
        <w:t>bestämd försäkring</w:t>
      </w:r>
      <w:bookmarkEnd w:id="206"/>
    </w:p>
    <w:p w14:paraId="5479911E" w14:textId="2DC04578" w:rsidR="00057D66" w:rsidRPr="004115E6" w:rsidRDefault="00057D66" w:rsidP="00EF1DD7">
      <w:pPr>
        <w:pStyle w:val="Brdtext"/>
        <w:spacing w:line="276" w:lineRule="auto"/>
      </w:pPr>
      <w:r w:rsidRPr="00907FCC">
        <w:t>Överskott är satt under försäkringsteknisk risk under hela försäkringstiden</w:t>
      </w:r>
      <w:r w:rsidR="00061127">
        <w:t>.</w:t>
      </w:r>
    </w:p>
    <w:p w14:paraId="4A0F56E0" w14:textId="48BF80FF" w:rsidR="00057D66" w:rsidRPr="00907FCC" w:rsidRDefault="00057D66" w:rsidP="00EF1DD7">
      <w:pPr>
        <w:pStyle w:val="Brdtext"/>
        <w:spacing w:line="276" w:lineRule="auto"/>
      </w:pPr>
      <w:r w:rsidRPr="00907FCC">
        <w:t xml:space="preserve">Tilläggsbelopp på grund av överskott </w:t>
      </w:r>
      <w:r w:rsidR="000D363F">
        <w:t>vid</w:t>
      </w:r>
      <w:r w:rsidR="000D363F" w:rsidRPr="00907FCC">
        <w:t xml:space="preserve"> </w:t>
      </w:r>
      <w:r w:rsidRPr="00907FCC">
        <w:t xml:space="preserve">periodisk utbetalning bestäms genom att retrospektivreserven relateras till en prognosreserv. Prognosreserven </w:t>
      </w:r>
      <w:r w:rsidR="00733BC8">
        <w:t xml:space="preserve">ska </w:t>
      </w:r>
      <w:r w:rsidRPr="00907FCC">
        <w:t>bestäm</w:t>
      </w:r>
      <w:r w:rsidR="00733BC8">
        <w:t>ma</w:t>
      </w:r>
      <w:r w:rsidRPr="00907FCC">
        <w:t xml:space="preserve">s med ledning av </w:t>
      </w:r>
      <w:r w:rsidR="00736B28">
        <w:t>Företaget</w:t>
      </w:r>
      <w:r>
        <w:t>s</w:t>
      </w:r>
      <w:r w:rsidRPr="00907FCC">
        <w:t xml:space="preserve"> aktuella erfarenhet och beräkningsantagandena </w:t>
      </w:r>
      <w:r w:rsidR="00DE3AF7">
        <w:t>får</w:t>
      </w:r>
      <w:r w:rsidRPr="00907FCC">
        <w:t xml:space="preserve"> ändras även för försäkringar vars utbetalningar har påbörjats.</w:t>
      </w:r>
    </w:p>
    <w:p w14:paraId="0904222F" w14:textId="77777777" w:rsidR="00D82F50" w:rsidRPr="00907FCC" w:rsidRDefault="00D82F50" w:rsidP="00457026"/>
    <w:p w14:paraId="29648203" w14:textId="77777777" w:rsidR="00D82F50" w:rsidRPr="00627362" w:rsidRDefault="00D82F50" w:rsidP="001B56CA">
      <w:pPr>
        <w:rPr>
          <w:i/>
          <w:color w:val="00B0F0"/>
        </w:rPr>
      </w:pPr>
      <w:r w:rsidRPr="00627362">
        <w:rPr>
          <w:i/>
          <w:color w:val="00B0F0"/>
        </w:rPr>
        <w:t>Avkastning</w:t>
      </w:r>
    </w:p>
    <w:p w14:paraId="0FDC6ECE" w14:textId="77777777" w:rsidR="00D82F50" w:rsidRPr="00907FCC" w:rsidRDefault="00D82F50" w:rsidP="004115E6">
      <w:pPr>
        <w:pStyle w:val="Brdtext"/>
        <w:spacing w:line="276" w:lineRule="auto"/>
      </w:pPr>
      <w:r w:rsidRPr="00907FCC">
        <w:t>I de fall avkastningsantaganden tillämpas bör de väljas i syfte att hålla den reala nivån på beloppen konstant över tid.</w:t>
      </w:r>
    </w:p>
    <w:p w14:paraId="369902F3" w14:textId="460DDAD6" w:rsidR="00D82F50" w:rsidRPr="007D2B1F" w:rsidRDefault="00D82F50" w:rsidP="001B56CA">
      <w:pPr>
        <w:rPr>
          <w:b/>
          <w:bCs/>
          <w:i/>
          <w:iCs/>
          <w:sz w:val="24"/>
        </w:rPr>
      </w:pPr>
      <w:bookmarkStart w:id="207" w:name="_Toc98858379"/>
      <w:r w:rsidRPr="00627362">
        <w:rPr>
          <w:i/>
          <w:color w:val="00B0F0"/>
        </w:rPr>
        <w:t>Driftskostnad</w:t>
      </w:r>
      <w:bookmarkEnd w:id="207"/>
      <w:r w:rsidR="00512AC1">
        <w:rPr>
          <w:i/>
          <w:color w:val="00B0F0"/>
        </w:rPr>
        <w:t>er</w:t>
      </w:r>
    </w:p>
    <w:p w14:paraId="2712ECF6" w14:textId="13B54C57" w:rsidR="00D82F50" w:rsidRPr="00907FCC" w:rsidRDefault="00D82F50" w:rsidP="004115E6">
      <w:pPr>
        <w:pStyle w:val="Brdtext"/>
        <w:spacing w:line="276" w:lineRule="auto"/>
      </w:pPr>
      <w:r w:rsidRPr="00907FCC">
        <w:t xml:space="preserve">Belastning för driftskostnader ska syfta till att täcka </w:t>
      </w:r>
      <w:r w:rsidR="00736B28">
        <w:t>Företaget</w:t>
      </w:r>
      <w:r w:rsidR="00FD1E5A">
        <w:t>s</w:t>
      </w:r>
      <w:r w:rsidRPr="00907FCC">
        <w:t xml:space="preserve"> beräknade faktiska driftskostnader.</w:t>
      </w:r>
    </w:p>
    <w:p w14:paraId="12BF7F78" w14:textId="77777777" w:rsidR="00D82F50" w:rsidRPr="007D2B1F" w:rsidRDefault="00D82F50" w:rsidP="001B56CA">
      <w:pPr>
        <w:rPr>
          <w:b/>
          <w:bCs/>
          <w:i/>
          <w:iCs/>
          <w:sz w:val="24"/>
        </w:rPr>
      </w:pPr>
      <w:bookmarkStart w:id="208" w:name="_Toc98858380"/>
      <w:r w:rsidRPr="00627362">
        <w:rPr>
          <w:i/>
          <w:color w:val="00B0F0"/>
        </w:rPr>
        <w:t>Skatt</w:t>
      </w:r>
      <w:bookmarkEnd w:id="208"/>
      <w:r w:rsidRPr="00627362">
        <w:rPr>
          <w:i/>
          <w:color w:val="00B0F0"/>
        </w:rPr>
        <w:t xml:space="preserve"> </w:t>
      </w:r>
    </w:p>
    <w:p w14:paraId="5789E3C0" w14:textId="77777777" w:rsidR="00D82F50" w:rsidRPr="00907FCC" w:rsidRDefault="00D82F50" w:rsidP="004115E6">
      <w:pPr>
        <w:pStyle w:val="Brdtext"/>
        <w:spacing w:line="276" w:lineRule="auto"/>
      </w:pPr>
      <w:r w:rsidRPr="00907FCC">
        <w:t xml:space="preserve">Antagande om skattebelastning ska beräknas i enlighet med gällande regler för beskattning av </w:t>
      </w:r>
      <w:r>
        <w:t>tjänstepensionsföretag</w:t>
      </w:r>
      <w:r w:rsidRPr="00907FCC">
        <w:t>.</w:t>
      </w:r>
    </w:p>
    <w:p w14:paraId="0F796535" w14:textId="77777777" w:rsidR="00D82F50" w:rsidRPr="007D2B1F" w:rsidRDefault="00D82F50" w:rsidP="001B56CA">
      <w:pPr>
        <w:rPr>
          <w:b/>
          <w:bCs/>
          <w:i/>
          <w:iCs/>
          <w:sz w:val="24"/>
        </w:rPr>
      </w:pPr>
      <w:bookmarkStart w:id="209" w:name="_Toc98858381"/>
      <w:r w:rsidRPr="00627362">
        <w:rPr>
          <w:i/>
          <w:color w:val="00B0F0"/>
        </w:rPr>
        <w:t>Dödlighet</w:t>
      </w:r>
      <w:bookmarkEnd w:id="209"/>
      <w:r w:rsidRPr="00627362">
        <w:rPr>
          <w:i/>
          <w:color w:val="00B0F0"/>
        </w:rPr>
        <w:t xml:space="preserve"> </w:t>
      </w:r>
    </w:p>
    <w:p w14:paraId="3F2C55CE" w14:textId="4A2E4647" w:rsidR="00D82F50" w:rsidRPr="00907FCC" w:rsidRDefault="00D82F50" w:rsidP="004115E6">
      <w:pPr>
        <w:pStyle w:val="Brdtext"/>
        <w:spacing w:line="276" w:lineRule="auto"/>
      </w:pPr>
      <w:r w:rsidRPr="00907FCC">
        <w:t>Tillämpade dödlighetsantaganden ska relateras till förväntat utfall för det egna beståndet</w:t>
      </w:r>
      <w:r w:rsidR="00742D58">
        <w:t>.</w:t>
      </w:r>
    </w:p>
    <w:p w14:paraId="22E4987A" w14:textId="77777777" w:rsidR="00D82F50" w:rsidRPr="00907FCC" w:rsidRDefault="00D82F50" w:rsidP="00D82F50"/>
    <w:p w14:paraId="60253C05" w14:textId="77777777" w:rsidR="00D82F50" w:rsidRPr="00457026" w:rsidRDefault="00D82F50" w:rsidP="00D82F50"/>
    <w:p w14:paraId="3DFB1C42" w14:textId="77777777" w:rsidR="002F191B" w:rsidRDefault="002F191B" w:rsidP="002F191B"/>
    <w:p w14:paraId="6184DE44" w14:textId="77777777" w:rsidR="00C57DD4" w:rsidRDefault="00C57DD4" w:rsidP="002F191B"/>
    <w:p w14:paraId="297C72F0" w14:textId="77777777" w:rsidR="00C57DD4" w:rsidRDefault="00C57DD4" w:rsidP="002F191B"/>
    <w:p w14:paraId="548384C9" w14:textId="77777777" w:rsidR="00C57DD4" w:rsidRDefault="00C57DD4" w:rsidP="002F191B"/>
    <w:p w14:paraId="49DE2292" w14:textId="77777777" w:rsidR="00C57DD4" w:rsidRPr="00907FCC" w:rsidRDefault="00C57DD4" w:rsidP="002F191B"/>
    <w:p w14:paraId="354C3EF2" w14:textId="35BCCD06" w:rsidR="00035DE2" w:rsidRDefault="00C52A7B" w:rsidP="00035DE2">
      <w:pPr>
        <w:pStyle w:val="Rubrik1"/>
      </w:pPr>
      <w:bookmarkStart w:id="210" w:name="_Toc229997338"/>
      <w:r>
        <w:lastRenderedPageBreak/>
        <w:t>K</w:t>
      </w:r>
      <w:r w:rsidR="00035DE2">
        <w:t>ollektiv</w:t>
      </w:r>
      <w:r w:rsidR="00191B0A">
        <w:t xml:space="preserve"> risk</w:t>
      </w:r>
      <w:r w:rsidR="00035DE2">
        <w:t>försäkring</w:t>
      </w:r>
      <w:bookmarkEnd w:id="210"/>
    </w:p>
    <w:p w14:paraId="2D07904B" w14:textId="77777777" w:rsidR="00035DE2" w:rsidRPr="00035DE2" w:rsidRDefault="00035DE2" w:rsidP="00035DE2"/>
    <w:p w14:paraId="45509F24" w14:textId="59872AAE" w:rsidR="00035DE2" w:rsidRDefault="00035DE2" w:rsidP="00035DE2">
      <w:pPr>
        <w:pStyle w:val="Rubrik2"/>
      </w:pPr>
      <w:bookmarkStart w:id="211" w:name="_Toc229997339"/>
      <w:r>
        <w:t>Bestämmande av premier och förmåner</w:t>
      </w:r>
      <w:bookmarkEnd w:id="211"/>
    </w:p>
    <w:p w14:paraId="00673B19" w14:textId="05205B06" w:rsidR="00FF2FFA" w:rsidRPr="00500247" w:rsidRDefault="00615C52" w:rsidP="00500247">
      <w:pPr>
        <w:rPr>
          <w:b/>
          <w:bCs/>
          <w:color w:val="00B0F0"/>
        </w:rPr>
      </w:pPr>
      <w:r w:rsidRPr="00500247">
        <w:rPr>
          <w:b/>
          <w:bCs/>
          <w:color w:val="00B0F0"/>
        </w:rPr>
        <w:t>Allmänna regler</w:t>
      </w:r>
    </w:p>
    <w:p w14:paraId="103DB4D8" w14:textId="30751F06" w:rsidR="00245967" w:rsidRDefault="00245967" w:rsidP="004115E6">
      <w:pPr>
        <w:pStyle w:val="Brdtext"/>
        <w:spacing w:line="276" w:lineRule="auto"/>
      </w:pPr>
      <w:r w:rsidRPr="00EE4EEA">
        <w:t>Riskbedömning ska ske vid</w:t>
      </w:r>
      <w:r>
        <w:t xml:space="preserve"> </w:t>
      </w:r>
      <w:r w:rsidR="00705E13">
        <w:t xml:space="preserve">nyteckning av frivilligt moment </w:t>
      </w:r>
      <w:r>
        <w:t>om de</w:t>
      </w:r>
      <w:r w:rsidR="00705E13">
        <w:t>tta</w:t>
      </w:r>
      <w:r>
        <w:t xml:space="preserve"> innebär</w:t>
      </w:r>
      <w:r w:rsidRPr="00EE4EEA">
        <w:t xml:space="preserve"> utökning av försäkringsrisk som inte sker vid av Företaget på förhand definierade tillfällen.</w:t>
      </w:r>
      <w:r>
        <w:t xml:space="preserve"> </w:t>
      </w:r>
    </w:p>
    <w:p w14:paraId="693B4925" w14:textId="363AFE62" w:rsidR="00377A45" w:rsidRPr="00907FCC" w:rsidRDefault="00377A45" w:rsidP="004115E6">
      <w:pPr>
        <w:pStyle w:val="Brdtext"/>
        <w:spacing w:line="276" w:lineRule="auto"/>
      </w:pPr>
      <w:r w:rsidRPr="00907FCC">
        <w:t xml:space="preserve">Premien bestäms varje år och baseras dels på vilka risker som ingår i beståndet, dels på </w:t>
      </w:r>
      <w:r w:rsidR="00736B28">
        <w:t>Företaget</w:t>
      </w:r>
      <w:r w:rsidRPr="00907FCC">
        <w:t xml:space="preserve">s erfarenhet av tidigare försäkringsfall. Premien beräknas som en procentsats av pensionsmedförande lön eller, för förmånsbestämda försäkringar, som en konsekvens av avtalade förmåner. </w:t>
      </w:r>
      <w:r w:rsidR="007F0DA3">
        <w:t>Premien ska vara könsneutral.</w:t>
      </w:r>
      <w:r w:rsidR="007F0DA3" w:rsidRPr="00273BA5">
        <w:t xml:space="preserve"> </w:t>
      </w:r>
      <w:r w:rsidRPr="00907FCC">
        <w:t xml:space="preserve">  </w:t>
      </w:r>
    </w:p>
    <w:p w14:paraId="6BB5A360" w14:textId="004D5EB5" w:rsidR="0007325C" w:rsidRDefault="0007325C" w:rsidP="0007325C">
      <w:r>
        <w:t xml:space="preserve">Premiesättningen </w:t>
      </w:r>
      <w:r w:rsidR="00AA6585">
        <w:t xml:space="preserve">ska </w:t>
      </w:r>
      <w:r>
        <w:t>följ</w:t>
      </w:r>
      <w:r w:rsidR="00AA6585">
        <w:t>a</w:t>
      </w:r>
      <w:r>
        <w:t>s upp löpande via resultatuppföljning.</w:t>
      </w:r>
    </w:p>
    <w:p w14:paraId="2271F140" w14:textId="77777777" w:rsidR="00377A45" w:rsidRDefault="00377A45" w:rsidP="00377A45">
      <w:pPr>
        <w:pStyle w:val="Brdtext"/>
      </w:pPr>
    </w:p>
    <w:p w14:paraId="0840F1CE" w14:textId="77777777" w:rsidR="00377A45" w:rsidRPr="007D2B1F" w:rsidRDefault="00377A45" w:rsidP="00627362">
      <w:pPr>
        <w:rPr>
          <w:color w:val="009CE0"/>
          <w:sz w:val="24"/>
          <w:szCs w:val="32"/>
        </w:rPr>
      </w:pPr>
      <w:r w:rsidRPr="00627362">
        <w:rPr>
          <w:i/>
          <w:color w:val="00B0F0"/>
        </w:rPr>
        <w:t>Avkastning</w:t>
      </w:r>
    </w:p>
    <w:p w14:paraId="3E891F3D" w14:textId="29754DC4" w:rsidR="00377A45" w:rsidRPr="00907FCC" w:rsidRDefault="006070B7" w:rsidP="00377A45">
      <w:pPr>
        <w:pStyle w:val="Brdtext"/>
      </w:pPr>
      <w:r>
        <w:t>Vid beräkning av premie får ett antagande om avkastning tillämpas</w:t>
      </w:r>
      <w:r w:rsidR="00451D4E">
        <w:t>.</w:t>
      </w:r>
      <w:r w:rsidR="00C75983" w:rsidRPr="00C75983">
        <w:t xml:space="preserve"> </w:t>
      </w:r>
      <w:r w:rsidR="00C75983" w:rsidRPr="00BF05EB">
        <w:t>Avkastningsantagandet ska baseras på</w:t>
      </w:r>
      <w:r w:rsidR="00C75983">
        <w:t xml:space="preserve"> </w:t>
      </w:r>
      <w:r w:rsidR="00C75983" w:rsidRPr="00BF05EB">
        <w:t>förväntad avkastning i tillgångsportföljen</w:t>
      </w:r>
      <w:r w:rsidR="00C75983">
        <w:t>.</w:t>
      </w:r>
    </w:p>
    <w:p w14:paraId="25DE38ED" w14:textId="77777777" w:rsidR="008149E5" w:rsidRDefault="008149E5" w:rsidP="00627362">
      <w:pPr>
        <w:rPr>
          <w:i/>
          <w:color w:val="00B0F0"/>
        </w:rPr>
      </w:pPr>
    </w:p>
    <w:p w14:paraId="2A05C8CC" w14:textId="4F6D0ED1" w:rsidR="00377A45" w:rsidRPr="007D2B1F" w:rsidRDefault="00377A45" w:rsidP="00627362">
      <w:pPr>
        <w:rPr>
          <w:color w:val="009CE0"/>
          <w:sz w:val="24"/>
          <w:szCs w:val="32"/>
        </w:rPr>
      </w:pPr>
      <w:r w:rsidRPr="00627362">
        <w:rPr>
          <w:i/>
          <w:color w:val="00B0F0"/>
        </w:rPr>
        <w:t>Skatt</w:t>
      </w:r>
    </w:p>
    <w:p w14:paraId="75B288DC" w14:textId="6BB6890A" w:rsidR="00DD7B50" w:rsidRDefault="00DD7B50" w:rsidP="00DD7B50">
      <w:r>
        <w:t>Antagande om skattebelastning ingår inte vid bestämmande av premier.</w:t>
      </w:r>
    </w:p>
    <w:p w14:paraId="3809F6BC" w14:textId="77777777" w:rsidR="00377A45" w:rsidRDefault="00377A45" w:rsidP="00627362">
      <w:pPr>
        <w:rPr>
          <w:i/>
          <w:color w:val="00B0F0"/>
        </w:rPr>
      </w:pPr>
    </w:p>
    <w:p w14:paraId="653F37A4" w14:textId="3642B441" w:rsidR="00377A45" w:rsidRPr="007D2B1F" w:rsidRDefault="00377A45" w:rsidP="00627362">
      <w:pPr>
        <w:rPr>
          <w:color w:val="009CE0"/>
          <w:sz w:val="24"/>
          <w:szCs w:val="32"/>
        </w:rPr>
      </w:pPr>
      <w:r w:rsidRPr="00627362">
        <w:rPr>
          <w:i/>
          <w:color w:val="00B0F0"/>
        </w:rPr>
        <w:t xml:space="preserve">Livslängd och dödlighet </w:t>
      </w:r>
    </w:p>
    <w:p w14:paraId="296AE78D" w14:textId="79B2EE52" w:rsidR="00B75856" w:rsidRPr="00907FCC" w:rsidRDefault="00B75856" w:rsidP="00B75856">
      <w:pPr>
        <w:pStyle w:val="Brdtext"/>
        <w:spacing w:line="276" w:lineRule="auto"/>
      </w:pPr>
      <w:r w:rsidRPr="00907FCC">
        <w:t xml:space="preserve">Tillämpade dödlighetsantaganden ska </w:t>
      </w:r>
      <w:r w:rsidR="00AC76A4">
        <w:t xml:space="preserve">i första hand </w:t>
      </w:r>
      <w:r w:rsidRPr="00907FCC">
        <w:t>relateras till förväntat utfall för det egna beståndet</w:t>
      </w:r>
      <w:r w:rsidR="0031433C">
        <w:t>.</w:t>
      </w:r>
      <w:r w:rsidR="006A67FA" w:rsidRPr="006A67FA">
        <w:t xml:space="preserve"> </w:t>
      </w:r>
      <w:r w:rsidR="0093362A" w:rsidRPr="00907FCC">
        <w:t xml:space="preserve">För att göra uppskattningar </w:t>
      </w:r>
      <w:r w:rsidR="00924607">
        <w:t>får</w:t>
      </w:r>
      <w:r w:rsidR="00924607" w:rsidRPr="00907FCC">
        <w:t xml:space="preserve"> </w:t>
      </w:r>
      <w:r w:rsidR="000C112B">
        <w:t xml:space="preserve">– </w:t>
      </w:r>
      <w:r w:rsidR="0093362A" w:rsidRPr="00907FCC">
        <w:t xml:space="preserve">utöver uppgifter som tagits fram inom det egna </w:t>
      </w:r>
      <w:r w:rsidR="0093362A">
        <w:t>företaget</w:t>
      </w:r>
      <w:r w:rsidR="0093362A" w:rsidRPr="00907FCC">
        <w:t xml:space="preserve"> </w:t>
      </w:r>
      <w:r w:rsidR="000C112B">
        <w:t xml:space="preserve">– </w:t>
      </w:r>
      <w:r w:rsidR="0093362A" w:rsidRPr="00907FCC">
        <w:t xml:space="preserve">även uppgifter </w:t>
      </w:r>
      <w:r w:rsidR="005777AE">
        <w:t>från försäkrings- ell</w:t>
      </w:r>
      <w:r w:rsidR="00414B79">
        <w:t>e</w:t>
      </w:r>
      <w:r w:rsidR="005777AE">
        <w:t xml:space="preserve">r </w:t>
      </w:r>
      <w:r w:rsidR="00733330">
        <w:t xml:space="preserve">andra </w:t>
      </w:r>
      <w:r w:rsidR="005777AE">
        <w:t>tjänstepensionsföretag</w:t>
      </w:r>
      <w:r w:rsidR="00414B79">
        <w:t xml:space="preserve"> </w:t>
      </w:r>
      <w:r w:rsidR="0093362A" w:rsidRPr="00907FCC">
        <w:t xml:space="preserve">inom </w:t>
      </w:r>
      <w:r w:rsidR="00E11553">
        <w:t>Folksam Liv-gruppen</w:t>
      </w:r>
      <w:r w:rsidR="0093362A" w:rsidRPr="006A67FA">
        <w:rPr>
          <w:color w:val="FF0000"/>
        </w:rPr>
        <w:t xml:space="preserve"> </w:t>
      </w:r>
      <w:r w:rsidR="0093362A" w:rsidRPr="006C4FBC">
        <w:t>användas.</w:t>
      </w:r>
    </w:p>
    <w:p w14:paraId="6F260FF0" w14:textId="3F6E65A2" w:rsidR="00377A45" w:rsidRPr="007D2B1F" w:rsidRDefault="00377A45" w:rsidP="00627362">
      <w:pPr>
        <w:rPr>
          <w:color w:val="009CE0"/>
          <w:sz w:val="24"/>
          <w:szCs w:val="32"/>
        </w:rPr>
      </w:pPr>
      <w:r w:rsidRPr="00627362">
        <w:rPr>
          <w:i/>
          <w:color w:val="00B0F0"/>
        </w:rPr>
        <w:t>Driftskostnad</w:t>
      </w:r>
      <w:r w:rsidR="00512AC1">
        <w:rPr>
          <w:i/>
          <w:color w:val="00B0F0"/>
        </w:rPr>
        <w:t>er</w:t>
      </w:r>
    </w:p>
    <w:p w14:paraId="223E526A" w14:textId="3A83C28D" w:rsidR="00377A45" w:rsidRPr="00907FCC" w:rsidRDefault="00377A45" w:rsidP="004115E6">
      <w:pPr>
        <w:pStyle w:val="Brdtext"/>
        <w:spacing w:line="276" w:lineRule="auto"/>
      </w:pPr>
      <w:r w:rsidRPr="00907FCC">
        <w:t>Belastningen ska syfta till att täcka faktiska driftskostnader</w:t>
      </w:r>
      <w:r>
        <w:t>.</w:t>
      </w:r>
    </w:p>
    <w:p w14:paraId="114CCCB2" w14:textId="77777777" w:rsidR="0061698F" w:rsidRDefault="0061698F" w:rsidP="00500247">
      <w:pPr>
        <w:rPr>
          <w:b/>
          <w:color w:val="00B0F0"/>
        </w:rPr>
      </w:pPr>
      <w:bookmarkStart w:id="212" w:name="_Toc98858405"/>
    </w:p>
    <w:p w14:paraId="220B18E5" w14:textId="1FA17D33" w:rsidR="00377A45" w:rsidRPr="0089225A" w:rsidRDefault="00377A45" w:rsidP="00500247">
      <w:pPr>
        <w:rPr>
          <w:sz w:val="24"/>
        </w:rPr>
      </w:pPr>
      <w:r w:rsidRPr="00500247">
        <w:rPr>
          <w:b/>
          <w:color w:val="00B0F0"/>
        </w:rPr>
        <w:t>Rätt till ändring</w:t>
      </w:r>
      <w:bookmarkEnd w:id="212"/>
    </w:p>
    <w:p w14:paraId="49605C5F" w14:textId="298D9E2B" w:rsidR="00377A45" w:rsidRDefault="008E677F" w:rsidP="00377A45">
      <w:pPr>
        <w:pStyle w:val="Brdtext"/>
      </w:pPr>
      <w:r w:rsidRPr="008E677F">
        <w:t>Ändringsrätt saknas.</w:t>
      </w:r>
    </w:p>
    <w:p w14:paraId="36C20DAF" w14:textId="77777777" w:rsidR="008259E9" w:rsidRDefault="008259E9" w:rsidP="00377A45">
      <w:pPr>
        <w:pStyle w:val="Brdtext"/>
      </w:pPr>
    </w:p>
    <w:p w14:paraId="39103BF3" w14:textId="77777777" w:rsidR="008259E9" w:rsidRDefault="008259E9" w:rsidP="00377A45">
      <w:pPr>
        <w:pStyle w:val="Brdtext"/>
      </w:pPr>
    </w:p>
    <w:p w14:paraId="00653F13" w14:textId="77777777" w:rsidR="00C57DD4" w:rsidRDefault="00C57DD4" w:rsidP="00377A45">
      <w:pPr>
        <w:pStyle w:val="Brdtext"/>
      </w:pPr>
    </w:p>
    <w:p w14:paraId="1DE6521A" w14:textId="77777777" w:rsidR="00C57DD4" w:rsidRPr="008E677F" w:rsidRDefault="00C57DD4" w:rsidP="00377A45">
      <w:pPr>
        <w:pStyle w:val="Brdtext"/>
      </w:pPr>
    </w:p>
    <w:p w14:paraId="5B5173FE" w14:textId="329C8F13" w:rsidR="00B166D9" w:rsidRPr="00907FCC" w:rsidRDefault="00B166D9" w:rsidP="00735D35">
      <w:pPr>
        <w:pStyle w:val="Rubrik2"/>
      </w:pPr>
      <w:bookmarkStart w:id="213" w:name="_Toc98852399"/>
      <w:r w:rsidRPr="00907FCC">
        <w:lastRenderedPageBreak/>
        <w:t xml:space="preserve"> </w:t>
      </w:r>
      <w:bookmarkStart w:id="214" w:name="_Toc229997340"/>
      <w:r w:rsidRPr="00907FCC">
        <w:t>Beräkning av försäkringstekniska avsättningar för finansiell redovisning</w:t>
      </w:r>
      <w:bookmarkEnd w:id="213"/>
      <w:r w:rsidR="00D24982">
        <w:t xml:space="preserve"> och solvensändamål</w:t>
      </w:r>
      <w:bookmarkEnd w:id="214"/>
    </w:p>
    <w:p w14:paraId="5E8E4368" w14:textId="77777777" w:rsidR="00AA6585" w:rsidRDefault="00AA6585" w:rsidP="009D57CE">
      <w:pPr>
        <w:rPr>
          <w:b/>
          <w:color w:val="00B0F0"/>
        </w:rPr>
      </w:pPr>
    </w:p>
    <w:p w14:paraId="7386409B" w14:textId="77777777" w:rsidR="00AA6585" w:rsidRDefault="00AA6585" w:rsidP="009D57CE">
      <w:pPr>
        <w:rPr>
          <w:b/>
          <w:color w:val="00B0F0"/>
        </w:rPr>
      </w:pPr>
    </w:p>
    <w:p w14:paraId="0B58CD66" w14:textId="12BCE412" w:rsidR="00F74E96" w:rsidRPr="009D57CE" w:rsidRDefault="00F74E96" w:rsidP="009D57CE">
      <w:pPr>
        <w:rPr>
          <w:b/>
          <w:color w:val="00B0F0"/>
        </w:rPr>
      </w:pPr>
      <w:r w:rsidRPr="009D57CE">
        <w:rPr>
          <w:b/>
          <w:color w:val="00B0F0"/>
        </w:rPr>
        <w:t>Avsättning för oreglerade skador</w:t>
      </w:r>
    </w:p>
    <w:p w14:paraId="0659F89E" w14:textId="77777777" w:rsidR="00446A71" w:rsidRDefault="00446A71" w:rsidP="00CE0877">
      <w:pPr>
        <w:rPr>
          <w:b/>
          <w:bCs/>
          <w:color w:val="00B0F0"/>
        </w:rPr>
      </w:pPr>
    </w:p>
    <w:p w14:paraId="5C4A7252" w14:textId="2A899F7B" w:rsidR="00CE0877" w:rsidRDefault="00305C03" w:rsidP="00CE0877">
      <w:pPr>
        <w:rPr>
          <w:b/>
          <w:bCs/>
          <w:color w:val="00B0F0"/>
        </w:rPr>
      </w:pPr>
      <w:r>
        <w:rPr>
          <w:b/>
          <w:bCs/>
          <w:color w:val="00B0F0"/>
        </w:rPr>
        <w:t>Fastställda</w:t>
      </w:r>
      <w:r w:rsidR="00CE0877">
        <w:rPr>
          <w:b/>
          <w:bCs/>
          <w:color w:val="00B0F0"/>
        </w:rPr>
        <w:t xml:space="preserve"> skador</w:t>
      </w:r>
    </w:p>
    <w:p w14:paraId="2F109892" w14:textId="77777777" w:rsidR="00CE0877" w:rsidRPr="00096925" w:rsidRDefault="00CE0877" w:rsidP="00CE0877">
      <w:r>
        <w:t>Vid</w:t>
      </w:r>
      <w:r w:rsidRPr="00096925">
        <w:t xml:space="preserve"> avsättning för fastställda skador </w:t>
      </w:r>
      <w:r>
        <w:t>ska</w:t>
      </w:r>
      <w:r w:rsidRPr="00096925">
        <w:t xml:space="preserve"> antaganden </w:t>
      </w:r>
      <w:r>
        <w:t xml:space="preserve">användas </w:t>
      </w:r>
      <w:r w:rsidRPr="00096925">
        <w:t xml:space="preserve">enligt nedan: </w:t>
      </w:r>
    </w:p>
    <w:p w14:paraId="7A30B239" w14:textId="34AD369E" w:rsidR="00D04E52" w:rsidRPr="005D646A" w:rsidRDefault="00D04E52" w:rsidP="00D04E52">
      <w:pPr>
        <w:pStyle w:val="Rubrik5"/>
        <w:rPr>
          <w:rFonts w:ascii="Arial" w:eastAsiaTheme="minorHAnsi" w:hAnsi="Arial" w:cs="Arial"/>
          <w:iCs/>
          <w:color w:val="00B0F0"/>
          <w:sz w:val="22"/>
        </w:rPr>
      </w:pPr>
      <w:r w:rsidRPr="005D646A">
        <w:rPr>
          <w:rFonts w:ascii="Arial" w:eastAsiaTheme="minorHAnsi" w:hAnsi="Arial" w:cs="Arial"/>
          <w:iCs/>
          <w:color w:val="00B0F0"/>
          <w:sz w:val="22"/>
        </w:rPr>
        <w:t>Avkastning</w:t>
      </w:r>
    </w:p>
    <w:p w14:paraId="3DA283AB" w14:textId="0E1A5343" w:rsidR="009A2ED6" w:rsidRPr="00907FCC" w:rsidRDefault="00736B28" w:rsidP="009A2ED6">
      <w:pPr>
        <w:pStyle w:val="Brdtext"/>
        <w:spacing w:line="276" w:lineRule="auto"/>
      </w:pPr>
      <w:r>
        <w:t>Företaget</w:t>
      </w:r>
      <w:r w:rsidR="009A2ED6" w:rsidRPr="00907FCC">
        <w:t xml:space="preserve"> </w:t>
      </w:r>
      <w:r w:rsidR="009A2ED6">
        <w:t>ska tillämpa en diskonteringsräntekurva i enlighet med Finansinspektionens föreskrifter och allmänna råd för tjänstepensionsföretag</w:t>
      </w:r>
      <w:r w:rsidR="00596B41">
        <w:t>.</w:t>
      </w:r>
      <w:r w:rsidR="009A2ED6">
        <w:t xml:space="preserve"> </w:t>
      </w:r>
    </w:p>
    <w:p w14:paraId="6BDE77B3" w14:textId="46D7D4F1" w:rsidR="005D646A" w:rsidRPr="005D646A" w:rsidRDefault="005D646A" w:rsidP="005D646A">
      <w:pPr>
        <w:pStyle w:val="Rubrik5"/>
        <w:rPr>
          <w:rFonts w:ascii="Arial" w:eastAsiaTheme="minorHAnsi" w:hAnsi="Arial" w:cs="Arial"/>
          <w:iCs/>
          <w:color w:val="00B0F0"/>
          <w:sz w:val="22"/>
        </w:rPr>
      </w:pPr>
      <w:r>
        <w:rPr>
          <w:rFonts w:ascii="Arial" w:eastAsiaTheme="minorHAnsi" w:hAnsi="Arial" w:cs="Arial"/>
          <w:iCs/>
          <w:color w:val="00B0F0"/>
          <w:sz w:val="22"/>
        </w:rPr>
        <w:t>Dödlighet</w:t>
      </w:r>
    </w:p>
    <w:p w14:paraId="34009D9B" w14:textId="6BADB8FD" w:rsidR="00754441" w:rsidRPr="00907FCC" w:rsidRDefault="00754441" w:rsidP="00754441">
      <w:pPr>
        <w:pStyle w:val="Brdtext"/>
        <w:spacing w:line="276" w:lineRule="auto"/>
      </w:pPr>
      <w:r w:rsidRPr="00907FCC">
        <w:t xml:space="preserve">Tillämpade dödlighetsantaganden ska </w:t>
      </w:r>
      <w:r>
        <w:t xml:space="preserve">i första hand </w:t>
      </w:r>
      <w:r w:rsidRPr="00907FCC">
        <w:t>relateras till förväntat utfall för det egna beståndet</w:t>
      </w:r>
      <w:r>
        <w:t>.</w:t>
      </w:r>
      <w:r w:rsidRPr="006A67FA">
        <w:t xml:space="preserve"> </w:t>
      </w:r>
      <w:r w:rsidR="006C4FBC" w:rsidRPr="00907FCC">
        <w:t xml:space="preserve">För att göra uppskattningar </w:t>
      </w:r>
      <w:r w:rsidR="00023B62">
        <w:t>får</w:t>
      </w:r>
      <w:r w:rsidR="00023B62" w:rsidRPr="00907FCC">
        <w:t xml:space="preserve"> </w:t>
      </w:r>
      <w:r w:rsidR="000C112B">
        <w:t xml:space="preserve">– </w:t>
      </w:r>
      <w:r w:rsidR="006C4FBC" w:rsidRPr="00907FCC">
        <w:t xml:space="preserve">utöver uppgifter som tagits fram inom det egna </w:t>
      </w:r>
      <w:r w:rsidR="006C4FBC">
        <w:t>företaget</w:t>
      </w:r>
      <w:r w:rsidR="006C4FBC" w:rsidRPr="00907FCC">
        <w:t xml:space="preserve"> </w:t>
      </w:r>
      <w:r w:rsidR="000C112B">
        <w:t xml:space="preserve">– </w:t>
      </w:r>
      <w:r w:rsidR="006C4FBC" w:rsidRPr="00907FCC">
        <w:t xml:space="preserve">även uppgifter </w:t>
      </w:r>
      <w:r w:rsidR="00CE0877">
        <w:t xml:space="preserve">från </w:t>
      </w:r>
      <w:r w:rsidR="00733330">
        <w:t xml:space="preserve">försäkrings- </w:t>
      </w:r>
      <w:r w:rsidR="00AC6657">
        <w:t>eller andra tjänstepensionsföretag inom</w:t>
      </w:r>
      <w:r w:rsidR="00CE0877" w:rsidRPr="00907FCC">
        <w:t xml:space="preserve"> </w:t>
      </w:r>
      <w:r w:rsidR="00E11553">
        <w:t>Folksam Liv-gruppen</w:t>
      </w:r>
      <w:r w:rsidR="006C4FBC" w:rsidRPr="006A67FA">
        <w:rPr>
          <w:color w:val="FF0000"/>
        </w:rPr>
        <w:t xml:space="preserve"> </w:t>
      </w:r>
      <w:r w:rsidR="006C4FBC" w:rsidRPr="006C4FBC">
        <w:t>användas.</w:t>
      </w:r>
    </w:p>
    <w:p w14:paraId="6965004B" w14:textId="2254D3FA" w:rsidR="007D289F" w:rsidRPr="007D289F" w:rsidRDefault="007D289F" w:rsidP="007D289F">
      <w:pPr>
        <w:pStyle w:val="Rubrik5"/>
        <w:rPr>
          <w:rFonts w:ascii="Arial" w:eastAsiaTheme="minorHAnsi" w:hAnsi="Arial" w:cs="Arial"/>
          <w:iCs/>
          <w:color w:val="00B0F0"/>
          <w:sz w:val="22"/>
        </w:rPr>
      </w:pPr>
      <w:r w:rsidRPr="007D289F">
        <w:rPr>
          <w:rFonts w:ascii="Arial" w:eastAsiaTheme="minorHAnsi" w:hAnsi="Arial" w:cs="Arial"/>
          <w:iCs/>
          <w:color w:val="00B0F0"/>
          <w:sz w:val="22"/>
        </w:rPr>
        <w:t>Driftskostnad</w:t>
      </w:r>
      <w:r w:rsidR="00512AC1">
        <w:rPr>
          <w:rFonts w:ascii="Arial" w:eastAsiaTheme="minorHAnsi" w:hAnsi="Arial" w:cs="Arial"/>
          <w:iCs/>
          <w:color w:val="00B0F0"/>
          <w:sz w:val="22"/>
        </w:rPr>
        <w:t>er</w:t>
      </w:r>
    </w:p>
    <w:p w14:paraId="120EAC49" w14:textId="0C244A6D" w:rsidR="00036947" w:rsidRDefault="00CA6943" w:rsidP="00036947">
      <w:r>
        <w:t>Antaganden om</w:t>
      </w:r>
      <w:r w:rsidR="00036947">
        <w:t xml:space="preserve"> driftskostnader </w:t>
      </w:r>
      <w:r w:rsidR="0025146B">
        <w:t xml:space="preserve">ska </w:t>
      </w:r>
      <w:r w:rsidR="00036947">
        <w:t>ske</w:t>
      </w:r>
      <w:r w:rsidR="005036E1">
        <w:t xml:space="preserve"> och</w:t>
      </w:r>
      <w:r w:rsidR="00036947">
        <w:t xml:space="preserve"> </w:t>
      </w:r>
      <w:r w:rsidR="00064A0C">
        <w:t>baseras på faktiska</w:t>
      </w:r>
      <w:r w:rsidR="00382BD0">
        <w:t xml:space="preserve"> kostnader</w:t>
      </w:r>
      <w:r w:rsidR="00AA42A1">
        <w:t xml:space="preserve"> för att reglera försäkringsfall.</w:t>
      </w:r>
      <w:r>
        <w:t xml:space="preserve"> </w:t>
      </w:r>
    </w:p>
    <w:p w14:paraId="0F8E32F1" w14:textId="77777777" w:rsidR="00737FBA" w:rsidRDefault="00737FBA" w:rsidP="007D289F"/>
    <w:p w14:paraId="553F290E" w14:textId="61ED2B0B" w:rsidR="00B834F8" w:rsidRPr="00500247" w:rsidRDefault="00B834F8" w:rsidP="00B834F8">
      <w:pPr>
        <w:rPr>
          <w:b/>
          <w:bCs/>
          <w:color w:val="00B0F0"/>
        </w:rPr>
      </w:pPr>
      <w:r>
        <w:rPr>
          <w:b/>
          <w:bCs/>
          <w:color w:val="00B0F0"/>
        </w:rPr>
        <w:t>Okända skador</w:t>
      </w:r>
    </w:p>
    <w:p w14:paraId="50B9C995" w14:textId="71E99C4C" w:rsidR="00632265" w:rsidRDefault="0020750E" w:rsidP="00632265">
      <w:r>
        <w:t>Vid a</w:t>
      </w:r>
      <w:r w:rsidR="00632265">
        <w:t xml:space="preserve">vsättning för okända skador ska hänsyn </w:t>
      </w:r>
      <w:r>
        <w:t xml:space="preserve">tas </w:t>
      </w:r>
      <w:r w:rsidR="00632265">
        <w:t>till företagets erfarenhet av inträffade, men i efterhand rapporterade, dödsfall.</w:t>
      </w:r>
    </w:p>
    <w:p w14:paraId="43DE4097" w14:textId="77777777" w:rsidR="0019756F" w:rsidRDefault="0019756F" w:rsidP="00B166D9">
      <w:pPr>
        <w:pStyle w:val="brd-a"/>
      </w:pPr>
    </w:p>
    <w:p w14:paraId="64D416E4" w14:textId="77777777" w:rsidR="004C0AF8" w:rsidRDefault="004C0AF8" w:rsidP="00B166D9">
      <w:pPr>
        <w:pStyle w:val="brd-a"/>
      </w:pPr>
    </w:p>
    <w:p w14:paraId="3081F08A" w14:textId="77777777" w:rsidR="00B166D9" w:rsidRPr="00907FCC" w:rsidRDefault="00B166D9" w:rsidP="00B166D9">
      <w:pPr>
        <w:pStyle w:val="brd-a"/>
      </w:pPr>
    </w:p>
    <w:p w14:paraId="03F5B2F5" w14:textId="2935CB86" w:rsidR="00B166D9" w:rsidRPr="00907FCC" w:rsidRDefault="00B166D9" w:rsidP="00B166D9">
      <w:pPr>
        <w:pStyle w:val="Rubrik2"/>
      </w:pPr>
      <w:bookmarkStart w:id="215" w:name="_Toc98852400"/>
      <w:bookmarkStart w:id="216" w:name="_Toc229997341"/>
      <w:r w:rsidRPr="00907FCC">
        <w:t>Återköp av försäkringar</w:t>
      </w:r>
      <w:r>
        <w:t xml:space="preserve"> och</w:t>
      </w:r>
      <w:r w:rsidRPr="00907FCC">
        <w:t xml:space="preserve"> överföring av försäkringars värde</w:t>
      </w:r>
      <w:bookmarkEnd w:id="215"/>
      <w:bookmarkEnd w:id="216"/>
      <w:r w:rsidRPr="00907FCC">
        <w:t xml:space="preserve"> </w:t>
      </w:r>
    </w:p>
    <w:p w14:paraId="3D0D2737" w14:textId="77777777" w:rsidR="005036E1" w:rsidRDefault="005036E1" w:rsidP="004115E6">
      <w:pPr>
        <w:pStyle w:val="Brdtext"/>
        <w:spacing w:line="276" w:lineRule="auto"/>
      </w:pPr>
    </w:p>
    <w:p w14:paraId="1DEE1DB5" w14:textId="38F2289F" w:rsidR="00B166D9" w:rsidRDefault="00B166D9" w:rsidP="004115E6">
      <w:pPr>
        <w:pStyle w:val="Brdtext"/>
        <w:spacing w:line="276" w:lineRule="auto"/>
      </w:pPr>
      <w:r w:rsidRPr="00907FCC">
        <w:t>Återköp</w:t>
      </w:r>
      <w:r>
        <w:t xml:space="preserve"> och </w:t>
      </w:r>
      <w:r w:rsidRPr="00907FCC">
        <w:t>överföring</w:t>
      </w:r>
      <w:r>
        <w:t xml:space="preserve"> av försäkringars värde </w:t>
      </w:r>
      <w:r w:rsidRPr="00907FCC">
        <w:t>medges inte.</w:t>
      </w:r>
    </w:p>
    <w:p w14:paraId="52F65DE1" w14:textId="77777777" w:rsidR="00B166D9" w:rsidRDefault="00B166D9" w:rsidP="00B166D9">
      <w:pPr>
        <w:pStyle w:val="Brdtext"/>
      </w:pPr>
    </w:p>
    <w:p w14:paraId="7B0E6BA4" w14:textId="53B4F8D6" w:rsidR="00B166D9" w:rsidRPr="00907FCC" w:rsidRDefault="00B166D9" w:rsidP="00B166D9">
      <w:pPr>
        <w:pStyle w:val="Rubrik2"/>
      </w:pPr>
      <w:bookmarkStart w:id="217" w:name="_Toc98852402"/>
      <w:bookmarkStart w:id="218" w:name="_Toc229997342"/>
      <w:r>
        <w:t>T</w:t>
      </w:r>
      <w:r w:rsidRPr="00907FCC">
        <w:t>illdelning av återbäring</w:t>
      </w:r>
      <w:bookmarkEnd w:id="217"/>
      <w:bookmarkEnd w:id="218"/>
    </w:p>
    <w:p w14:paraId="73445D46" w14:textId="77777777" w:rsidR="00B166D9" w:rsidRDefault="00B166D9" w:rsidP="004115E6">
      <w:pPr>
        <w:pStyle w:val="Brdtext"/>
        <w:spacing w:line="276" w:lineRule="auto"/>
      </w:pPr>
      <w:r>
        <w:t>Allokerad återbäring i form av pensionstillägg tilldelas vid utbetalning.</w:t>
      </w:r>
    </w:p>
    <w:p w14:paraId="400FB490" w14:textId="127A4A0F" w:rsidR="003264A1" w:rsidRDefault="003264A1" w:rsidP="003264A1">
      <w:r>
        <w:t xml:space="preserve">Återbäring </w:t>
      </w:r>
      <w:r w:rsidR="008D4667">
        <w:t xml:space="preserve">får </w:t>
      </w:r>
      <w:r>
        <w:t>tilldelas genom reduktion av årspremien (premier</w:t>
      </w:r>
      <w:r w:rsidR="0031721F">
        <w:t>educering</w:t>
      </w:r>
      <w:r>
        <w:t xml:space="preserve">) eller värdesäkring av försäkringsbelopp förutsatt att ekonomin i verksamhetsgrenen och i </w:t>
      </w:r>
      <w:r w:rsidR="00736B28">
        <w:t>Företaget</w:t>
      </w:r>
      <w:r w:rsidR="000F1AFC">
        <w:t xml:space="preserve"> </w:t>
      </w:r>
      <w:r>
        <w:t>som helhet tillåter detta.</w:t>
      </w:r>
    </w:p>
    <w:p w14:paraId="30826E0B" w14:textId="77777777" w:rsidR="00085108" w:rsidRDefault="00085108" w:rsidP="003264A1"/>
    <w:p w14:paraId="587CAF2F" w14:textId="77777777" w:rsidR="00B166D9" w:rsidRPr="00907FCC" w:rsidRDefault="00B166D9" w:rsidP="00B166D9">
      <w:pPr>
        <w:pStyle w:val="brd-a"/>
      </w:pPr>
    </w:p>
    <w:p w14:paraId="6D11AEB5" w14:textId="1B4341F2" w:rsidR="00085108" w:rsidRPr="00907FCC" w:rsidRDefault="00085108" w:rsidP="00085108">
      <w:pPr>
        <w:pStyle w:val="Rubrik2"/>
      </w:pPr>
      <w:bookmarkStart w:id="219" w:name="_Toc229997343"/>
      <w:r w:rsidRPr="00907FCC">
        <w:t>Periodisk utbetalning</w:t>
      </w:r>
      <w:bookmarkEnd w:id="219"/>
    </w:p>
    <w:p w14:paraId="51B37D9C" w14:textId="242E5A02" w:rsidR="002D0663" w:rsidRDefault="00AB6FC2">
      <w:pPr>
        <w:spacing w:after="200" w:line="276" w:lineRule="auto"/>
      </w:pPr>
      <w:r>
        <w:t>U</w:t>
      </w:r>
      <w:r w:rsidR="000716FC">
        <w:t>tbetalning</w:t>
      </w:r>
      <w:r>
        <w:t xml:space="preserve"> periodiseras inte utan</w:t>
      </w:r>
      <w:r w:rsidR="000716FC">
        <w:t xml:space="preserve"> sker med </w:t>
      </w:r>
      <w:r w:rsidR="0034512A">
        <w:t xml:space="preserve">avtalade </w:t>
      </w:r>
      <w:r w:rsidR="000716FC">
        <w:t xml:space="preserve">belopp </w:t>
      </w:r>
      <w:r w:rsidR="005204C4">
        <w:t>under avtalad</w:t>
      </w:r>
      <w:r w:rsidR="000716FC">
        <w:t xml:space="preserve"> tidsperiod.</w:t>
      </w:r>
    </w:p>
    <w:p w14:paraId="70BF2867" w14:textId="77777777" w:rsidR="00984730" w:rsidRPr="00B5126D" w:rsidRDefault="00984730">
      <w:pPr>
        <w:spacing w:after="200" w:line="276" w:lineRule="auto"/>
      </w:pPr>
    </w:p>
    <w:p w14:paraId="1965A302" w14:textId="03077F83" w:rsidR="00E161D0" w:rsidRPr="00BE19FF" w:rsidRDefault="00BE19FF" w:rsidP="002F0901">
      <w:pPr>
        <w:pStyle w:val="Rubrik1"/>
      </w:pPr>
      <w:bookmarkStart w:id="220" w:name="_Toc229997344"/>
      <w:r>
        <w:t>F</w:t>
      </w:r>
      <w:r w:rsidRPr="00BE19FF">
        <w:t xml:space="preserve">astställandeuppgifter </w:t>
      </w:r>
      <w:r>
        <w:t>och ä</w:t>
      </w:r>
      <w:r w:rsidR="00E161D0" w:rsidRPr="00BE19FF">
        <w:t>ndringshistorik</w:t>
      </w:r>
      <w:bookmarkEnd w:id="220"/>
      <w:r w:rsidR="00E161D0" w:rsidRPr="00BE19FF">
        <w:t xml:space="preserve"> </w:t>
      </w:r>
    </w:p>
    <w:p w14:paraId="76AB0181" w14:textId="6DEE9764" w:rsidR="00E161D0" w:rsidRPr="00AA2E36" w:rsidRDefault="00E161D0" w:rsidP="00BB5416"/>
    <w:p w14:paraId="7532D9ED" w14:textId="2B7D9DF3" w:rsidR="00AA2E36" w:rsidRDefault="00AA2E36" w:rsidP="00BB5416"/>
    <w:tbl>
      <w:tblPr>
        <w:tblStyle w:val="Tabell01"/>
        <w:tblW w:w="9093" w:type="dxa"/>
        <w:tblLayout w:type="fixed"/>
        <w:tblLook w:val="04A0" w:firstRow="1" w:lastRow="0" w:firstColumn="1" w:lastColumn="0" w:noHBand="0" w:noVBand="1"/>
      </w:tblPr>
      <w:tblGrid>
        <w:gridCol w:w="2577"/>
        <w:gridCol w:w="2577"/>
        <w:gridCol w:w="3939"/>
      </w:tblGrid>
      <w:tr w:rsidR="008C56E6" w:rsidRPr="00622474" w14:paraId="7A3EC803" w14:textId="77777777" w:rsidTr="005B34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14:paraId="5EB35227" w14:textId="7FAED117" w:rsidR="008C56E6" w:rsidRDefault="00A1667C" w:rsidP="00BB5416">
            <w:r>
              <w:t>Antagandedatum</w:t>
            </w:r>
          </w:p>
        </w:tc>
        <w:tc>
          <w:tcPr>
            <w:tcW w:w="2577" w:type="dxa"/>
          </w:tcPr>
          <w:p w14:paraId="05F09A41" w14:textId="1F536E18" w:rsidR="008C56E6" w:rsidRPr="00622474" w:rsidRDefault="008C56E6" w:rsidP="00BB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t>Ikraftträdande</w:t>
            </w:r>
            <w:r w:rsidRPr="00622474">
              <w:t>datum</w:t>
            </w:r>
          </w:p>
        </w:tc>
        <w:tc>
          <w:tcPr>
            <w:tcW w:w="3939" w:type="dxa"/>
          </w:tcPr>
          <w:p w14:paraId="7A5A6E1A" w14:textId="77777777" w:rsidR="008C56E6" w:rsidRPr="00622474" w:rsidRDefault="008C56E6" w:rsidP="00BB54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622474">
              <w:t>Ändring</w:t>
            </w:r>
          </w:p>
        </w:tc>
      </w:tr>
      <w:tr w:rsidR="00DA2E8F" w:rsidRPr="00622474" w14:paraId="68C5478B" w14:textId="77777777" w:rsidTr="005B349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14:paraId="6EEF9298" w14:textId="2BA24A4A" w:rsidR="00DA2E8F" w:rsidRPr="00E41BB5" w:rsidRDefault="00DA2E8F" w:rsidP="00BB5416">
            <w:pPr>
              <w:rPr>
                <w:rStyle w:val="normaltextrun"/>
              </w:rPr>
            </w:pPr>
            <w:r>
              <w:rPr>
                <w:rStyle w:val="normaltextrun"/>
              </w:rPr>
              <w:t>2026-06-03</w:t>
            </w:r>
          </w:p>
        </w:tc>
        <w:tc>
          <w:tcPr>
            <w:tcW w:w="2577" w:type="dxa"/>
          </w:tcPr>
          <w:p w14:paraId="77D7C056" w14:textId="6C5C1A96" w:rsidR="00DA2E8F" w:rsidRPr="00622474" w:rsidRDefault="00DA2E8F" w:rsidP="00BB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2026-06-30</w:t>
            </w:r>
          </w:p>
        </w:tc>
        <w:tc>
          <w:tcPr>
            <w:tcW w:w="3939" w:type="dxa"/>
          </w:tcPr>
          <w:p w14:paraId="2AFA8B78" w14:textId="3FC6DC8C" w:rsidR="00DA2E8F" w:rsidRPr="00622474" w:rsidRDefault="00DA2E8F" w:rsidP="00BB54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Materiella ändringar</w:t>
            </w:r>
          </w:p>
        </w:tc>
      </w:tr>
      <w:tr w:rsidR="00DA2E8F" w:rsidRPr="00622474" w14:paraId="14F3E3C6" w14:textId="77777777" w:rsidTr="005B349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14:paraId="2E5476A4" w14:textId="3BEE7427" w:rsidR="00DA2E8F" w:rsidRPr="00E41BB5" w:rsidRDefault="00DA2E8F" w:rsidP="00DA2E8F">
            <w:pPr>
              <w:rPr>
                <w:rStyle w:val="normaltextrun"/>
              </w:rPr>
            </w:pPr>
            <w:r>
              <w:rPr>
                <w:rStyle w:val="normaltextrun"/>
              </w:rPr>
              <w:t>2025-12-05</w:t>
            </w:r>
          </w:p>
        </w:tc>
        <w:tc>
          <w:tcPr>
            <w:tcW w:w="2577" w:type="dxa"/>
          </w:tcPr>
          <w:p w14:paraId="7C2510CC" w14:textId="45EAE046" w:rsidR="00DA2E8F" w:rsidRPr="00622474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normaltextrun"/>
              </w:rPr>
              <w:t>2026-01-01</w:t>
            </w:r>
          </w:p>
        </w:tc>
        <w:tc>
          <w:tcPr>
            <w:tcW w:w="3939" w:type="dxa"/>
          </w:tcPr>
          <w:p w14:paraId="38BBBAA3" w14:textId="5EAAAAAE" w:rsidR="00DA2E8F" w:rsidRPr="00622474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Materiella ändringar</w:t>
            </w:r>
          </w:p>
        </w:tc>
      </w:tr>
      <w:tr w:rsidR="00DA2E8F" w:rsidRPr="00622474" w14:paraId="5348D0F1" w14:textId="77777777" w:rsidTr="005B349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14:paraId="32F46A5E" w14:textId="57F2A62E" w:rsidR="00DA2E8F" w:rsidRDefault="00DA2E8F" w:rsidP="00DA2E8F">
            <w:pPr>
              <w:rPr>
                <w:rStyle w:val="normaltextrun"/>
              </w:rPr>
            </w:pPr>
            <w:r>
              <w:rPr>
                <w:rStyle w:val="normaltextrun"/>
              </w:rPr>
              <w:t>2024-12-03</w:t>
            </w:r>
          </w:p>
        </w:tc>
        <w:tc>
          <w:tcPr>
            <w:tcW w:w="2577" w:type="dxa"/>
          </w:tcPr>
          <w:p w14:paraId="16A130AF" w14:textId="12DE0E6D" w:rsidR="00DA2E8F" w:rsidRPr="00E41BB5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2025-01-01</w:t>
            </w:r>
          </w:p>
        </w:tc>
        <w:tc>
          <w:tcPr>
            <w:tcW w:w="3939" w:type="dxa"/>
          </w:tcPr>
          <w:p w14:paraId="40D555C9" w14:textId="6BDC2BA9" w:rsidR="00DA2E8F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Materiella ändringar</w:t>
            </w:r>
          </w:p>
        </w:tc>
      </w:tr>
      <w:tr w:rsidR="00DA2E8F" w:rsidRPr="00622474" w14:paraId="11790D9A" w14:textId="77777777" w:rsidTr="005B3498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7" w:type="dxa"/>
          </w:tcPr>
          <w:p w14:paraId="0BBE6381" w14:textId="15EC09A8" w:rsidR="00DA2E8F" w:rsidRDefault="00DA2E8F" w:rsidP="00DA2E8F">
            <w:pPr>
              <w:rPr>
                <w:rStyle w:val="normaltextrun"/>
              </w:rPr>
            </w:pPr>
            <w:r>
              <w:rPr>
                <w:rStyle w:val="normaltextrun"/>
              </w:rPr>
              <w:t>2023-11-30</w:t>
            </w:r>
          </w:p>
        </w:tc>
        <w:tc>
          <w:tcPr>
            <w:tcW w:w="2577" w:type="dxa"/>
          </w:tcPr>
          <w:p w14:paraId="21FC10E0" w14:textId="512FE76C" w:rsidR="00DA2E8F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</w:rPr>
            </w:pPr>
            <w:r>
              <w:rPr>
                <w:rStyle w:val="normaltextrun"/>
              </w:rPr>
              <w:t>2024-01-01</w:t>
            </w:r>
          </w:p>
        </w:tc>
        <w:tc>
          <w:tcPr>
            <w:tcW w:w="3939" w:type="dxa"/>
          </w:tcPr>
          <w:p w14:paraId="5E202003" w14:textId="06EBA345" w:rsidR="00DA2E8F" w:rsidRDefault="00DA2E8F" w:rsidP="00DA2E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Materiella ändringar</w:t>
            </w:r>
          </w:p>
        </w:tc>
      </w:tr>
    </w:tbl>
    <w:p w14:paraId="5AC7B3DB" w14:textId="0BE84C55" w:rsidR="00AA2E36" w:rsidRDefault="00AA2E36" w:rsidP="00BB5416"/>
    <w:p w14:paraId="44DA1B37" w14:textId="77777777" w:rsidR="004F7535" w:rsidRPr="00AA2E36" w:rsidRDefault="004F7535" w:rsidP="00BB5416"/>
    <w:p w14:paraId="23274B1B" w14:textId="77777777" w:rsidR="00AA2E36" w:rsidRPr="00AA2E36" w:rsidRDefault="00AA2E36" w:rsidP="00BB5416"/>
    <w:sectPr w:rsidR="00AA2E36" w:rsidRPr="00AA2E36" w:rsidSect="000B46D0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701" w:right="2722" w:bottom="1871" w:left="1871" w:header="1021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2FB1C" w14:textId="77777777" w:rsidR="002F1711" w:rsidRDefault="002F1711" w:rsidP="00BB5416">
      <w:r>
        <w:separator/>
      </w:r>
    </w:p>
  </w:endnote>
  <w:endnote w:type="continuationSeparator" w:id="0">
    <w:p w14:paraId="2DE30070" w14:textId="77777777" w:rsidR="002F1711" w:rsidRDefault="002F1711" w:rsidP="00BB5416">
      <w:r>
        <w:continuationSeparator/>
      </w:r>
    </w:p>
  </w:endnote>
  <w:endnote w:type="continuationNotice" w:id="1">
    <w:p w14:paraId="766306C9" w14:textId="77777777" w:rsidR="002F1711" w:rsidRDefault="002F17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7088234"/>
      <w:docPartObj>
        <w:docPartGallery w:val="Page Numbers (Bottom of Page)"/>
        <w:docPartUnique/>
      </w:docPartObj>
    </w:sdtPr>
    <w:sdtEndPr/>
    <w:sdtContent>
      <w:p w14:paraId="55C72FF8" w14:textId="65346ED5" w:rsidR="009E611A" w:rsidRDefault="009E611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576746" w14:textId="77777777" w:rsidR="009E611A" w:rsidRDefault="009E611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9F0B0" w14:textId="77777777" w:rsidR="002F1711" w:rsidRDefault="002F1711" w:rsidP="00BB5416">
      <w:r>
        <w:separator/>
      </w:r>
    </w:p>
  </w:footnote>
  <w:footnote w:type="continuationSeparator" w:id="0">
    <w:p w14:paraId="1AEC2E79" w14:textId="77777777" w:rsidR="002F1711" w:rsidRDefault="002F1711" w:rsidP="00BB5416">
      <w:r>
        <w:continuationSeparator/>
      </w:r>
    </w:p>
  </w:footnote>
  <w:footnote w:type="continuationNotice" w:id="1">
    <w:p w14:paraId="5D23E9AF" w14:textId="77777777" w:rsidR="002F1711" w:rsidRDefault="002F17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EC23" w14:textId="5084F99B" w:rsidR="00DA667C" w:rsidRDefault="00DA667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1868942A" wp14:editId="5C74E4B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830" cy="314325"/>
              <wp:effectExtent l="0" t="0" r="1270" b="9525"/>
              <wp:wrapNone/>
              <wp:docPr id="224734949" name="Textruta 2" descr="Informationsklass: Konfidentiel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83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96F07F" w14:textId="2B950ADC" w:rsidR="00DA667C" w:rsidRPr="00DA667C" w:rsidRDefault="00DA667C" w:rsidP="00DA66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A66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Informationsklass: Konfidentiell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68942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Konfidentiell" style="position:absolute;margin-left:0;margin-top:0;width:122.9pt;height:24.75pt;z-index:251660289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GDDQIAABsEAAAOAAAAZHJzL2Uyb0RvYy54bWysU1tv2yAUfp+0/4B4X+wkTdVZcaqsVaZJ&#10;UVspnfpMMMSWgIOAxM5+/Q7YTrZuT9Ne4Nw4l+98LO87rchJON+AKel0klMiDIeqMYeSfn/dfLqj&#10;xAdmKqbAiJKehaf3q48flq0txAxqUJVwBJMYX7S2pHUItsgyz2uhmZ+AFQadEpxmAVV3yCrHWsyu&#10;VTbL89usBVdZB1x4j9bH3klXKb+UgodnKb0IRJUUewvpdOncxzNbLVlxcMzWDR/aYP/QhWaNwaKX&#10;VI8sMHJ0zR+pdMMdeJBhwkFnIGXDRZoBp5nm76bZ1cyKNAuC4+0FJv//0vKn086+OBK6L9DhAiMg&#10;rfWFR2Ocp5NOxxs7JehHCM8X2EQXCI+PFrf53RxdHH3z6c18tohpsutr63z4KkCTKJTU4VoSWuy0&#10;9aEPHUNiMQObRqm0GmV+M2DOaMmuLUYpdPtu6HsP1RnHcdBv2lu+abDmlvnwwhyuFttEuoZnPKSC&#10;tqQwSJTU4H78zR7jEXH0UtIiVUpqkMuUqG8GNzFb3OR5pFbSpp/zRdRc0lDYj4I56gdAFk7xQ1ie&#10;xBgX1ChKB/oN2byO1dDFDMeaJQ2j+BB64uJv4GK9TkHIIsvC1uwsj6kjWBHJ1+6NOTvAHXBRTzCS&#10;iRXvUO9j40tv18eA2KeVRGB7NAe8kYFpqcNviRT/VU9R1z+9+gkAAP//AwBQSwMEFAAGAAgAAAAh&#10;AM8XQ2DaAAAABAEAAA8AAABkcnMvZG93bnJldi54bWxMj81KxEAQhO+C7zC04M2duCSiMZNFBEHB&#10;RVwXvc5mOj+Y6QmZzia+va0XvRQ01VR9VWwW36sjjrELZOBylYBCqoLrqDGwf3u4uAYV2ZKzfSA0&#10;8IURNuXpSWFzF2Z6xeOOGyUhFHNroGUecq1j1aK3cRUGJPHqMHrLco6NdqOdJdz3ep0kV9rbjqSh&#10;tQPet1h97iZv4DGNHzzVdRa3z9s5eZr9fnp5N+b8bLm7BcW48N8z/OALOpTCdAgTuah6AzKEf1W8&#10;dZrJjIOB9CYDXRb6P3z5DQAA//8DAFBLAQItABQABgAIAAAAIQC2gziS/gAAAOEBAAATAAAAAAAA&#10;AAAAAAAAAAAAAABbQ29udGVudF9UeXBlc10ueG1sUEsBAi0AFAAGAAgAAAAhADj9If/WAAAAlAEA&#10;AAsAAAAAAAAAAAAAAAAALwEAAF9yZWxzLy5yZWxzUEsBAi0AFAAGAAgAAAAhAFvI8YMNAgAAGwQA&#10;AA4AAAAAAAAAAAAAAAAALgIAAGRycy9lMm9Eb2MueG1sUEsBAi0AFAAGAAgAAAAhAM8XQ2DaAAAA&#10;BAEAAA8AAAAAAAAAAAAAAAAAZwQAAGRycy9kb3ducmV2LnhtbFBLBQYAAAAABAAEAPMAAABuBQAA&#10;AAA=&#10;" filled="f" stroked="f">
              <v:textbox style="mso-fit-shape-to-text:t" inset="20pt,15pt,0,0">
                <w:txbxContent>
                  <w:p w14:paraId="1A96F07F" w14:textId="2B950ADC" w:rsidR="00DA667C" w:rsidRPr="00DA667C" w:rsidRDefault="00DA667C" w:rsidP="00DA66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A667C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Informationsklass: Konfidentiell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7250" w14:textId="2353E36E" w:rsidR="00B45D27" w:rsidRDefault="00DA667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1313" behindDoc="0" locked="0" layoutInCell="1" allowOverlap="1" wp14:anchorId="6448C4DB" wp14:editId="4B5DF54D">
              <wp:simplePos x="0" y="0"/>
              <wp:positionH relativeFrom="page">
                <wp:posOffset>1853514</wp:posOffset>
              </wp:positionH>
              <wp:positionV relativeFrom="page">
                <wp:posOffset>140043</wp:posOffset>
              </wp:positionV>
              <wp:extent cx="1560830" cy="477795"/>
              <wp:effectExtent l="0" t="0" r="1270" b="17780"/>
              <wp:wrapNone/>
              <wp:docPr id="962122238" name="Textruta 3" descr="Informationsklass: Konfidentiel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830" cy="47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F72E1D" w14:textId="6E986AA7" w:rsidR="00DA667C" w:rsidRPr="00DA667C" w:rsidRDefault="00DA667C" w:rsidP="00DA66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48C4DB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Konfidentiell" style="position:absolute;margin-left:145.95pt;margin-top:11.05pt;width:122.9pt;height:37.6pt;z-index:251661313;visibility:visible;mso-wrap-style:non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Rk/EAIAACIEAAAOAAAAZHJzL2Uyb0RvYy54bWysU1tv2jAUfp+0/2D5fSSwUtqIULFWTJNQ&#10;W4lOfTaOTSLZPpZtSNiv37EToO32NO3FObecy3e+M7/rtCIH4XwDpqTjUU6JMByqxuxK+vNl9eWG&#10;Eh+YqZgCI0p6FJ7eLT5/mre2EBOoQVXCEUxifNHaktYh2CLLPK+FZn4EVhh0SnCaBVTdLqscazG7&#10;Vtkkz6+zFlxlHXDhPVofeiddpPxSCh6epPQiEFVS7C2k16V3G99sMWfFzjFbN3xog/1DF5o1Boue&#10;Uz2wwMjeNX+k0g134EGGEQedgZQNF2kGnGacf5hmUzMr0iwIjrdnmPz/S8sfDxv77EjovkGHC4yA&#10;tNYXHo1xnk46Hb/YKUE/Qng8wya6QHj8aXqd33xFF0ff1Ww2u53GNNnlb+t8+C5AkyiU1OFaElrs&#10;sPahDz2FxGIGVo1SaTXKvDNgzmjJLi1GKXTbjjTVm/a3UB1xKgf9wr3lqwZLr5kPz8zhhrFbZG14&#10;wkcqaEsKg0RJDe7X3+wxHoFHLyUtMqakBilNifphcCGT6VWeR4YlbXybT6PmkobC9iSYvb4HJOMY&#10;78LyJMa4oE6idKBfkdTLWA1dzHCsWdJwEu9Dz188Ci6WyxSEZLIsrM3G8pg6YhYBfelembMD6gH3&#10;9QgnTrHiA/h9bI/2ch9ANmkzEd8ezQF2JGLa7XA0kelv9RR1Oe3FbwAAAP//AwBQSwMEFAAGAAgA&#10;AAAhAE9wWQDgAAAACQEAAA8AAABkcnMvZG93bnJldi54bWxMj01Pg0AQhu8m/ofNmHgx7QKNIMjS&#10;+HmoBxPb/oAtOwLKzhJ2aem/dzzpbSbz5J3nLdez7cURR985UhAvIxBItTMdNQr2u9fFHQgfNBnd&#10;O0IFZ/Swri4vSl0Yd6IPPG5DIziEfKEVtCEMhZS+btFqv3QDEt8+3Wh14HVspBn1icNtL5MoSqXV&#10;HfGHVg/41GL9vZ2sgjR7Oe+fb5x7/PL+bTNN6N/TSanrq/nhHkTAOfzB8KvP6lCx08FNZLzoFSR5&#10;nDPKQxKDYOB2lWUgDgrybAWyKuX/BtUPAAAA//8DAFBLAQItABQABgAIAAAAIQC2gziS/gAAAOEB&#10;AAATAAAAAAAAAAAAAAAAAAAAAABbQ29udGVudF9UeXBlc10ueG1sUEsBAi0AFAAGAAgAAAAhADj9&#10;If/WAAAAlAEAAAsAAAAAAAAAAAAAAAAALwEAAF9yZWxzLy5yZWxzUEsBAi0AFAAGAAgAAAAhADAt&#10;GT8QAgAAIgQAAA4AAAAAAAAAAAAAAAAALgIAAGRycy9lMm9Eb2MueG1sUEsBAi0AFAAGAAgAAAAh&#10;AE9wWQDgAAAACQEAAA8AAAAAAAAAAAAAAAAAagQAAGRycy9kb3ducmV2LnhtbFBLBQYAAAAABAAE&#10;APMAAAB3BQAAAAA=&#10;" filled="f" stroked="f">
              <v:textbox inset="20pt,15pt,0,0">
                <w:txbxContent>
                  <w:p w14:paraId="36F72E1D" w14:textId="6E986AA7" w:rsidR="00DA667C" w:rsidRPr="00DA667C" w:rsidRDefault="00DA667C" w:rsidP="00DA66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45D2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CBD870E" wp14:editId="530EBA3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Textruta 1" descr="{&quot;HashCode&quot;:2026348188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CC0483" w14:textId="631D25B0" w:rsidR="00B45D27" w:rsidRPr="00B45D27" w:rsidRDefault="00C93E93" w:rsidP="00B45D2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Informationsklass: </w:t>
                          </w:r>
                          <w:r w:rsidR="000871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Öppen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BD870E" id="Textruta 1" o:spid="_x0000_s1028" type="#_x0000_t202" alt="{&quot;HashCode&quot;:2026348188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DC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+EUwx47qE64noOeeW/5psEZHpgP&#10;z8wh1Tg2yjc84SEVYC84W5TU4H78zR/zkQGMUtKidErqvx+YE5Sorwa5mcxneR7Flm5ouGR8Gs9m&#10;eNkNXnPQd4CyHOMLsTyZMTeowZQO9CvKex3bYYgZjk1LGgbzLvRKxufBxXqdklBWloUHs7U8lo6g&#10;RWhfulfm7Bn/gMw9wqAuVryhoc/t4V4fAsgmcRQB7uE8446STNSdn0/U/K/3lHV95KufAAAA//8D&#10;AFBLAwQUAAYACAAAACEAaQHeI9wAAAAHAQAADwAAAGRycy9kb3ducmV2LnhtbEyPwU7DMBBE70j8&#10;g7VI3KhdKhWaZlOhIA5IHKDlA5x4SQLxOoq3afr3uCc4rUYzmnmb72bfq4nG2AVGWC4MKOI6uI4b&#10;hM/Dy90jqCiWne0DE8KZIuyK66vcZi6c+IOmvTQqlXDMLEIrMmRax7olb+MiDMTJ+wqjt5Lk2Gg3&#10;2lMq972+N2atve04LbR2oLKl+md/9Ahl+e4OZ2ne+Pm7mytXvU61HxBvb+anLSihWf7CcMFP6FAk&#10;pioc2UXVI6RHBGFl0r24y41Zg6oQHlYGdJHr//zFLwAAAP//AwBQSwECLQAUAAYACAAAACEAtoM4&#10;kv4AAADhAQAAEwAAAAAAAAAAAAAAAAAAAAAAW0NvbnRlbnRfVHlwZXNdLnhtbFBLAQItABQABgAI&#10;AAAAIQA4/SH/1gAAAJQBAAALAAAAAAAAAAAAAAAAAC8BAABfcmVscy8ucmVsc1BLAQItABQABgAI&#10;AAAAIQA/nLDCGwIAACwEAAAOAAAAAAAAAAAAAAAAAC4CAABkcnMvZTJvRG9jLnhtbFBLAQItABQA&#10;BgAIAAAAIQBpAd4j3AAAAAcBAAAPAAAAAAAAAAAAAAAAAHUEAABkcnMvZG93bnJldi54bWxQSwUG&#10;AAAAAAQABADzAAAAfgUAAAAA&#10;" o:allowincell="f" filled="f" stroked="f" strokeweight=".5pt">
              <v:textbox inset="20pt,0,,0">
                <w:txbxContent>
                  <w:p w14:paraId="3CCC0483" w14:textId="631D25B0" w:rsidR="00B45D27" w:rsidRPr="00B45D27" w:rsidRDefault="00C93E93" w:rsidP="00B45D2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Informationsklass: </w:t>
                    </w:r>
                    <w:r w:rsidR="000871DA">
                      <w:rPr>
                        <w:rFonts w:ascii="Calibri" w:hAnsi="Calibri" w:cs="Calibri"/>
                        <w:color w:val="000000"/>
                        <w:sz w:val="16"/>
                      </w:rPr>
                      <w:t>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38EC" w14:textId="62220AC7" w:rsidR="00B45D27" w:rsidRDefault="000871DA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07BC78D" wp14:editId="4F04531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310" cy="273050"/>
              <wp:effectExtent l="0" t="0" r="0" b="12700"/>
              <wp:wrapNone/>
              <wp:docPr id="2" name="Textruta 2" descr="{&quot;HashCode&quot;:2026348188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7BF90F" w14:textId="648704FA" w:rsidR="00B45D27" w:rsidRPr="00B45D27" w:rsidRDefault="00C93E93" w:rsidP="00B45D27">
                          <w:pP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 xml:space="preserve">Informationsklass: </w:t>
                          </w:r>
                          <w:r w:rsidR="000871DA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Öppen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7BC78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{&quot;HashCode&quot;:2026348188,&quot;Height&quot;:841.0,&quot;Width&quot;:595.0,&quot;Placement&quot;:&quot;Header&quot;,&quot;Index&quot;:&quot;FirstPage&quot;,&quot;Section&quot;:1,&quot;Top&quot;:0.0,&quot;Left&quot;:0.0}" style="position:absolute;margin-left:0;margin-top:0;width:595.3pt;height:21.5pt;z-index:251658241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4V/GwIAACwEAAAOAAAAZHJzL2Uyb0RvYy54bWysU8tu2zAQvBfoPxC815KfaQXLgZvARYEg&#10;CeAUOdMUaQkguSxJW3K/vkvKstu0p6IXarm72sfMcHnbaUWOwvkGTEnHo5wSYThUjdmX9NvL5sNH&#10;SnxgpmIKjCjpSXh6u3r/btnaQkygBlUJR7CI8UVrS1qHYIss87wWmvkRWGEwKMFpFvDq9lnlWIvV&#10;tcomeb7IWnCVdcCF9+i974N0lepLKXh4ktKLQFRJcbaQTpfOXTyz1ZIVe8ds3fDzGOwfptCsMdj0&#10;UuqeBUYOrvmjlG64Aw8yjDjoDKRsuEg74Dbj/M0225pZkXZBcLy9wOT/X1n+eNzaZ0dC9xk6JDAC&#10;0lpfeHTGfTrpdPzipATjCOHpApvoAuHovJkv8ukYQxxjk5tpPk+4Zte/rfPhiwBNolFSh7QktNjx&#10;wQfsiKlDSmxmYNMolahRhrQlXUyx5G8R/EMZ/PE6a7RCt+tIU5V0Ouyxg+qE6znomfeWbxqc4YH5&#10;8MwcUo1jo3zDEx5SAfaCs0VJDe7H3/wxHxnAKCUtSqek/vuBOUGJ+mqQm8l8ludRbOmGhkvGp/Fs&#10;hpfd4DUHfQcoyzG+EMuTGXODGkzpQL+ivNexHYaY4di0pGEw70KvZHweXKzXKQllZVl4MFvLY+kI&#10;WoT2pXtlzp7xD8jcIwzqYsUbGvrcHu71IYBsEkcR4B7OM+4oyUTd+flEzf96T1nXR776CQAA//8D&#10;AFBLAwQUAAYACAAAACEA+abIytoAAAAFAQAADwAAAGRycy9kb3ducmV2LnhtbEyPwU7DMBBE70j8&#10;g7VI3KhdQBWk2VQoiAMSB2j5gE28TQLxOordNP17XC5wWWk0o5m3+WZ2vZp4DJ0XhOXCgGKpve2k&#10;Qfjcvdw8gAqRxFLvhRFOHGBTXF7klFl/lA+etrFRqURCRghtjEOmdahbdhQWfmBJ3t6PjmKSY6Pt&#10;SMdU7np9a8xKO+okLbQ0cNly/b09OISyfLe7U2ze5PmrmytbvU61GxCvr+anNajIc/wLwxk/oUOR&#10;mCp/EBtUj5Aeib/37C0fzQpUhXB/Z0AXuf5PX/wAAAD//wMAUEsBAi0AFAAGAAgAAAAhALaDOJL+&#10;AAAA4QEAABMAAAAAAAAAAAAAAAAAAAAAAFtDb250ZW50X1R5cGVzXS54bWxQSwECLQAUAAYACAAA&#10;ACEAOP0h/9YAAACUAQAACwAAAAAAAAAAAAAAAAAvAQAAX3JlbHMvLnJlbHNQSwECLQAUAAYACAAA&#10;ACEArO+FfxsCAAAsBAAADgAAAAAAAAAAAAAAAAAuAgAAZHJzL2Uyb0RvYy54bWxQSwECLQAUAAYA&#10;CAAAACEA+abIytoAAAAFAQAADwAAAAAAAAAAAAAAAAB1BAAAZHJzL2Rvd25yZXYueG1sUEsFBgAA&#10;AAAEAAQA8wAAAHwFAAAAAA==&#10;" o:allowincell="f" filled="f" stroked="f" strokeweight=".5pt">
              <v:textbox inset="20pt,0,,0">
                <w:txbxContent>
                  <w:p w14:paraId="1D7BF90F" w14:textId="648704FA" w:rsidR="00B45D27" w:rsidRPr="00B45D27" w:rsidRDefault="00C93E93" w:rsidP="00B45D27">
                    <w:pPr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6"/>
                      </w:rPr>
                      <w:t xml:space="preserve">Informationsklass: </w:t>
                    </w:r>
                    <w:r w:rsidR="000871DA">
                      <w:rPr>
                        <w:rFonts w:ascii="Calibri" w:hAnsi="Calibri" w:cs="Calibri"/>
                        <w:color w:val="000000"/>
                        <w:sz w:val="16"/>
                      </w:rPr>
                      <w:t>Öppen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667C"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4A0E1361" wp14:editId="0F3DFF73">
              <wp:simplePos x="0" y="0"/>
              <wp:positionH relativeFrom="page">
                <wp:posOffset>1968843</wp:posOffset>
              </wp:positionH>
              <wp:positionV relativeFrom="page">
                <wp:posOffset>214183</wp:posOffset>
              </wp:positionV>
              <wp:extent cx="1560830" cy="314325"/>
              <wp:effectExtent l="0" t="0" r="1270" b="9525"/>
              <wp:wrapNone/>
              <wp:docPr id="421539176" name="Textruta 1" descr="Informationsklass: Konfidentiel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83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75A593" w14:textId="73F3F77C" w:rsidR="00DA667C" w:rsidRPr="00DA667C" w:rsidRDefault="00DA667C" w:rsidP="00DA667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0E1361" id="_x0000_s1030" type="#_x0000_t202" alt="Informationsklass: Konfidentiell" style="position:absolute;margin-left:155.05pt;margin-top:16.85pt;width:122.9pt;height:24.75pt;z-index:25165926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ccEwIAACIEAAAOAAAAZHJzL2Uyb0RvYy54bWysU8tu2zAQvBfoPxC815JfQSpYDtwELgoY&#10;SQCnyJmmSEsAySVI2pL79V1Slt0mORW9ULvc1T5mhou7TityFM43YEo6HuWUCMOhasy+pD9f1l9u&#10;KfGBmYopMKKkJ+Hp3fLzp0VrCzGBGlQlHMEixhetLWkdgi2yzPNaaOZHYIXBoASnWUDX7bPKsRar&#10;a5VN8vwma8FV1gEX3uPtQx+ky1RfSsHDk5ReBKJKirOFdLp07uKZLRes2Dtm64afx2D/MIVmjcGm&#10;l1IPLDBycM27UrrhDjzIMOKgM5Cy4SLtgNuM8zfbbGtmRdoFwfH2ApP/f2X543Frnx0J3TfokMAI&#10;SGt94fEy7tNJp+MXJyUYRwhPF9hEFwiPP81v8tsphjjGpuPZdDKPZbLr39b58F2AJtEoqUNaElrs&#10;uPGhTx1SYjMD60apRI0yf11gzXiTXUeMVuh2HWmqks6G8XdQnXArBz3h3vJ1g603zIdn5pBhnBZV&#10;G57wkAraksLZoqQG9+uj+5iPwGOUkhYVU1KDkqZE/TBIyGQ+y/OosOSNv+bz6LnkobEbDHPQ94Bi&#10;HOO7sDyZMS+owZQO9CuKehW7YYgZjj1LGgbzPvT6xUfBxWqVklBMloWN2VoeS0fMIqAv3Stz9ox6&#10;QL4eYdAUK96A3+fGP71dHQJSkJiJ+PZonmFHISZuz48mKv1PP2Vdn/byNwAAAP//AwBQSwMEFAAG&#10;AAgAAAAhAPubTsTgAAAACQEAAA8AAABkcnMvZG93bnJldi54bWxMj01Lw0AQhu+C/2EZwZvdpDFa&#10;YzZFBEHBIralXrfZyQdmZ0N208R/7/Sktxnm4Z3nzdez7cQJB986UhAvIhBIpTMt1Qr2u5ebFQgf&#10;NBndOUIFP+hhXVxe5DozbqJPPG1DLTiEfKYVNCH0mZS+bNBqv3A9Et8qN1gdeB1qaQY9cbjt5DKK&#10;7qTVLfGHRvf43GD5vR2tgtdb/xXGqkr95n0zRW+T3Y8fB6Wur+anRxAB5/AHw1mf1aFgp6MbyXjR&#10;KUjiKGaUh+QeBANpmj6AOCpYJUuQRS7/Nyh+AQAA//8DAFBLAQItABQABgAIAAAAIQC2gziS/gAA&#10;AOEBAAATAAAAAAAAAAAAAAAAAAAAAABbQ29udGVudF9UeXBlc10ueG1sUEsBAi0AFAAGAAgAAAAh&#10;ADj9If/WAAAAlAEAAAsAAAAAAAAAAAAAAAAALwEAAF9yZWxzLy5yZWxzUEsBAi0AFAAGAAgAAAAh&#10;AKzBBxwTAgAAIgQAAA4AAAAAAAAAAAAAAAAALgIAAGRycy9lMm9Eb2MueG1sUEsBAi0AFAAGAAgA&#10;AAAhAPubTsTgAAAACQEAAA8AAAAAAAAAAAAAAAAAbQQAAGRycy9kb3ducmV2LnhtbFBLBQYAAAAA&#10;BAAEAPMAAAB6BQAAAAA=&#10;" filled="f" stroked="f">
              <v:textbox style="mso-fit-shape-to-text:t" inset="20pt,15pt,0,0">
                <w:txbxContent>
                  <w:p w14:paraId="2675A593" w14:textId="73F3F77C" w:rsidR="00DA667C" w:rsidRPr="00DA667C" w:rsidRDefault="00DA667C" w:rsidP="00DA667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33634D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0260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46FB9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F8BFA6"/>
    <w:lvl w:ilvl="0">
      <w:start w:val="1"/>
      <w:numFmt w:val="lowerLetter"/>
      <w:pStyle w:val="Numreradlista2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</w:abstractNum>
  <w:abstractNum w:abstractNumId="4" w15:restartNumberingAfterBreak="0">
    <w:nsid w:val="FFFFFF80"/>
    <w:multiLevelType w:val="singleLevel"/>
    <w:tmpl w:val="B5F04B0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342DA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237A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58FB8C"/>
    <w:lvl w:ilvl="0">
      <w:start w:val="1"/>
      <w:numFmt w:val="bullet"/>
      <w:pStyle w:val="Punktlista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F03C82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</w:abstractNum>
  <w:abstractNum w:abstractNumId="9" w15:restartNumberingAfterBreak="0">
    <w:nsid w:val="FFFFFF89"/>
    <w:multiLevelType w:val="singleLevel"/>
    <w:tmpl w:val="22D81270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03A91813"/>
    <w:multiLevelType w:val="hybridMultilevel"/>
    <w:tmpl w:val="98CA0A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E420FF"/>
    <w:multiLevelType w:val="hybridMultilevel"/>
    <w:tmpl w:val="F7D68ED2"/>
    <w:lvl w:ilvl="0" w:tplc="237EFC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D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D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09D31618"/>
    <w:multiLevelType w:val="multilevel"/>
    <w:tmpl w:val="9966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395758A"/>
    <w:multiLevelType w:val="hybridMultilevel"/>
    <w:tmpl w:val="4CB4F754"/>
    <w:lvl w:ilvl="0" w:tplc="237EFC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6B5481D"/>
    <w:multiLevelType w:val="hybridMultilevel"/>
    <w:tmpl w:val="2FA4F0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D91DB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8F65273"/>
    <w:multiLevelType w:val="hybridMultilevel"/>
    <w:tmpl w:val="95B85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331D7"/>
    <w:multiLevelType w:val="multilevel"/>
    <w:tmpl w:val="374A77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19AC18A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D1566A2"/>
    <w:multiLevelType w:val="hybridMultilevel"/>
    <w:tmpl w:val="4F8AE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E43706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7244913"/>
    <w:multiLevelType w:val="hybridMultilevel"/>
    <w:tmpl w:val="20F0E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47548D"/>
    <w:multiLevelType w:val="hybridMultilevel"/>
    <w:tmpl w:val="118C6E3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D97479F"/>
    <w:multiLevelType w:val="hybridMultilevel"/>
    <w:tmpl w:val="9282E7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D67AF4"/>
    <w:multiLevelType w:val="hybridMultilevel"/>
    <w:tmpl w:val="8566374C"/>
    <w:lvl w:ilvl="0" w:tplc="041D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25" w15:restartNumberingAfterBreak="0">
    <w:nsid w:val="3B2B2761"/>
    <w:multiLevelType w:val="hybridMultilevel"/>
    <w:tmpl w:val="3BF6B28C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5346C9"/>
    <w:multiLevelType w:val="hybridMultilevel"/>
    <w:tmpl w:val="B8BA4270"/>
    <w:lvl w:ilvl="0" w:tplc="237EFC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D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D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D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D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D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27" w15:restartNumberingAfterBreak="0">
    <w:nsid w:val="3FC820DC"/>
    <w:multiLevelType w:val="hybridMultilevel"/>
    <w:tmpl w:val="975ACA16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44680A70"/>
    <w:multiLevelType w:val="hybridMultilevel"/>
    <w:tmpl w:val="57781C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8004A"/>
    <w:multiLevelType w:val="multilevel"/>
    <w:tmpl w:val="405C981A"/>
    <w:lvl w:ilvl="0">
      <w:start w:val="1"/>
      <w:numFmt w:val="decimal"/>
      <w:pStyle w:val="Rubrik1"/>
      <w:lvlText w:val="%1."/>
      <w:lvlJc w:val="left"/>
      <w:pPr>
        <w:ind w:left="1211" w:hanging="360"/>
      </w:pPr>
    </w:lvl>
    <w:lvl w:ilvl="1">
      <w:start w:val="1"/>
      <w:numFmt w:val="decimal"/>
      <w:pStyle w:val="Rubrik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8F33C3"/>
    <w:multiLevelType w:val="hybridMultilevel"/>
    <w:tmpl w:val="09489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53B57"/>
    <w:multiLevelType w:val="hybridMultilevel"/>
    <w:tmpl w:val="6D12C6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865DBC"/>
    <w:multiLevelType w:val="hybridMultilevel"/>
    <w:tmpl w:val="7E86790E"/>
    <w:lvl w:ilvl="0" w:tplc="78FE4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DCBB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46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D857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C08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003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AE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81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1CA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22F6CB6"/>
    <w:multiLevelType w:val="hybridMultilevel"/>
    <w:tmpl w:val="C6F06CF0"/>
    <w:lvl w:ilvl="0" w:tplc="CC243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0269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8A6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B48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204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125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87F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7C9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F86E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D7312EE"/>
    <w:multiLevelType w:val="hybridMultilevel"/>
    <w:tmpl w:val="BF20CC1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DF76AA"/>
    <w:multiLevelType w:val="hybridMultilevel"/>
    <w:tmpl w:val="364A46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B94669"/>
    <w:multiLevelType w:val="hybridMultilevel"/>
    <w:tmpl w:val="5A76CEAA"/>
    <w:lvl w:ilvl="0" w:tplc="041D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2004358483">
    <w:abstractNumId w:val="8"/>
  </w:num>
  <w:num w:numId="2" w16cid:durableId="1238320890">
    <w:abstractNumId w:val="3"/>
  </w:num>
  <w:num w:numId="3" w16cid:durableId="936255314">
    <w:abstractNumId w:val="2"/>
  </w:num>
  <w:num w:numId="4" w16cid:durableId="1939676386">
    <w:abstractNumId w:val="1"/>
  </w:num>
  <w:num w:numId="5" w16cid:durableId="973486090">
    <w:abstractNumId w:val="0"/>
  </w:num>
  <w:num w:numId="6" w16cid:durableId="1519658746">
    <w:abstractNumId w:val="9"/>
  </w:num>
  <w:num w:numId="7" w16cid:durableId="1445921680">
    <w:abstractNumId w:val="7"/>
  </w:num>
  <w:num w:numId="8" w16cid:durableId="814301630">
    <w:abstractNumId w:val="6"/>
  </w:num>
  <w:num w:numId="9" w16cid:durableId="1490752923">
    <w:abstractNumId w:val="5"/>
  </w:num>
  <w:num w:numId="10" w16cid:durableId="2035224134">
    <w:abstractNumId w:val="4"/>
  </w:num>
  <w:num w:numId="11" w16cid:durableId="2013558381">
    <w:abstractNumId w:val="17"/>
  </w:num>
  <w:num w:numId="12" w16cid:durableId="1531264678">
    <w:abstractNumId w:val="29"/>
  </w:num>
  <w:num w:numId="13" w16cid:durableId="1075936736">
    <w:abstractNumId w:val="11"/>
  </w:num>
  <w:num w:numId="14" w16cid:durableId="1861042459">
    <w:abstractNumId w:val="34"/>
  </w:num>
  <w:num w:numId="15" w16cid:durableId="1564100463">
    <w:abstractNumId w:val="31"/>
  </w:num>
  <w:num w:numId="16" w16cid:durableId="936984011">
    <w:abstractNumId w:val="10"/>
  </w:num>
  <w:num w:numId="17" w16cid:durableId="271595274">
    <w:abstractNumId w:val="12"/>
  </w:num>
  <w:num w:numId="18" w16cid:durableId="105200718">
    <w:abstractNumId w:val="26"/>
  </w:num>
  <w:num w:numId="19" w16cid:durableId="1798795571">
    <w:abstractNumId w:val="25"/>
  </w:num>
  <w:num w:numId="20" w16cid:durableId="1629584995">
    <w:abstractNumId w:val="33"/>
  </w:num>
  <w:num w:numId="21" w16cid:durableId="1847862450">
    <w:abstractNumId w:val="29"/>
  </w:num>
  <w:num w:numId="22" w16cid:durableId="1130899651">
    <w:abstractNumId w:val="29"/>
  </w:num>
  <w:num w:numId="23" w16cid:durableId="358972758">
    <w:abstractNumId w:val="29"/>
  </w:num>
  <w:num w:numId="24" w16cid:durableId="191308162">
    <w:abstractNumId w:val="29"/>
  </w:num>
  <w:num w:numId="25" w16cid:durableId="854423614">
    <w:abstractNumId w:val="17"/>
  </w:num>
  <w:num w:numId="26" w16cid:durableId="1566526883">
    <w:abstractNumId w:val="17"/>
  </w:num>
  <w:num w:numId="27" w16cid:durableId="999313595">
    <w:abstractNumId w:val="17"/>
  </w:num>
  <w:num w:numId="28" w16cid:durableId="1909026543">
    <w:abstractNumId w:val="17"/>
  </w:num>
  <w:num w:numId="29" w16cid:durableId="421072481">
    <w:abstractNumId w:val="17"/>
  </w:num>
  <w:num w:numId="30" w16cid:durableId="552697442">
    <w:abstractNumId w:val="17"/>
  </w:num>
  <w:num w:numId="31" w16cid:durableId="1545175032">
    <w:abstractNumId w:val="17"/>
  </w:num>
  <w:num w:numId="32" w16cid:durableId="474564476">
    <w:abstractNumId w:val="13"/>
  </w:num>
  <w:num w:numId="33" w16cid:durableId="766314337">
    <w:abstractNumId w:val="14"/>
  </w:num>
  <w:num w:numId="34" w16cid:durableId="1739356356">
    <w:abstractNumId w:val="16"/>
  </w:num>
  <w:num w:numId="35" w16cid:durableId="1537040901">
    <w:abstractNumId w:val="23"/>
  </w:num>
  <w:num w:numId="36" w16cid:durableId="1114249567">
    <w:abstractNumId w:val="36"/>
  </w:num>
  <w:num w:numId="37" w16cid:durableId="1871801570">
    <w:abstractNumId w:val="18"/>
  </w:num>
  <w:num w:numId="38" w16cid:durableId="369041313">
    <w:abstractNumId w:val="15"/>
  </w:num>
  <w:num w:numId="39" w16cid:durableId="635913389">
    <w:abstractNumId w:val="20"/>
  </w:num>
  <w:num w:numId="40" w16cid:durableId="634063027">
    <w:abstractNumId w:val="19"/>
  </w:num>
  <w:num w:numId="41" w16cid:durableId="836652686">
    <w:abstractNumId w:val="35"/>
  </w:num>
  <w:num w:numId="42" w16cid:durableId="1752501003">
    <w:abstractNumId w:val="30"/>
  </w:num>
  <w:num w:numId="43" w16cid:durableId="646477524">
    <w:abstractNumId w:val="21"/>
  </w:num>
  <w:num w:numId="44" w16cid:durableId="769356613">
    <w:abstractNumId w:val="32"/>
  </w:num>
  <w:num w:numId="45" w16cid:durableId="888225454">
    <w:abstractNumId w:val="27"/>
  </w:num>
  <w:num w:numId="46" w16cid:durableId="557515057">
    <w:abstractNumId w:val="22"/>
  </w:num>
  <w:num w:numId="47" w16cid:durableId="608583025">
    <w:abstractNumId w:val="29"/>
  </w:num>
  <w:num w:numId="48" w16cid:durableId="973679462">
    <w:abstractNumId w:val="24"/>
  </w:num>
  <w:num w:numId="49" w16cid:durableId="193735977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attachedTemplate r:id="rId1"/>
  <w:stylePaneFormatFilter w:val="9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ocumentProtection w:edit="readOnly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nned" w:val="1"/>
  </w:docVars>
  <w:rsids>
    <w:rsidRoot w:val="00D564FA"/>
    <w:rsid w:val="0000025E"/>
    <w:rsid w:val="00000D07"/>
    <w:rsid w:val="00000D10"/>
    <w:rsid w:val="000010F4"/>
    <w:rsid w:val="0000134F"/>
    <w:rsid w:val="00001E56"/>
    <w:rsid w:val="00002D5D"/>
    <w:rsid w:val="00002DA9"/>
    <w:rsid w:val="000039D0"/>
    <w:rsid w:val="00003A84"/>
    <w:rsid w:val="00003B4C"/>
    <w:rsid w:val="00004CB5"/>
    <w:rsid w:val="00005D3C"/>
    <w:rsid w:val="00005FEA"/>
    <w:rsid w:val="00006735"/>
    <w:rsid w:val="000070D2"/>
    <w:rsid w:val="00007777"/>
    <w:rsid w:val="00007C18"/>
    <w:rsid w:val="00010CAB"/>
    <w:rsid w:val="0001106E"/>
    <w:rsid w:val="000113B9"/>
    <w:rsid w:val="0001214E"/>
    <w:rsid w:val="000124B3"/>
    <w:rsid w:val="000129EA"/>
    <w:rsid w:val="00012C80"/>
    <w:rsid w:val="00012F6E"/>
    <w:rsid w:val="0001314D"/>
    <w:rsid w:val="00015C8F"/>
    <w:rsid w:val="00015EEE"/>
    <w:rsid w:val="00016D07"/>
    <w:rsid w:val="00020492"/>
    <w:rsid w:val="00021577"/>
    <w:rsid w:val="000225AD"/>
    <w:rsid w:val="00022A8B"/>
    <w:rsid w:val="00022E43"/>
    <w:rsid w:val="00022F6D"/>
    <w:rsid w:val="00023B62"/>
    <w:rsid w:val="00024336"/>
    <w:rsid w:val="0002445E"/>
    <w:rsid w:val="00024C43"/>
    <w:rsid w:val="000255E1"/>
    <w:rsid w:val="0002561B"/>
    <w:rsid w:val="000261F0"/>
    <w:rsid w:val="00027A4C"/>
    <w:rsid w:val="00030321"/>
    <w:rsid w:val="00031325"/>
    <w:rsid w:val="000321A1"/>
    <w:rsid w:val="00032330"/>
    <w:rsid w:val="00032439"/>
    <w:rsid w:val="0003344E"/>
    <w:rsid w:val="00033B0E"/>
    <w:rsid w:val="00034257"/>
    <w:rsid w:val="0003482D"/>
    <w:rsid w:val="00034900"/>
    <w:rsid w:val="00034C07"/>
    <w:rsid w:val="00034FF9"/>
    <w:rsid w:val="0003531B"/>
    <w:rsid w:val="00035DE2"/>
    <w:rsid w:val="00036151"/>
    <w:rsid w:val="0003618D"/>
    <w:rsid w:val="00036756"/>
    <w:rsid w:val="00036947"/>
    <w:rsid w:val="00036A2E"/>
    <w:rsid w:val="00041069"/>
    <w:rsid w:val="00041E6C"/>
    <w:rsid w:val="00042573"/>
    <w:rsid w:val="00042C05"/>
    <w:rsid w:val="0004327B"/>
    <w:rsid w:val="000437DD"/>
    <w:rsid w:val="00043CB8"/>
    <w:rsid w:val="00043FE3"/>
    <w:rsid w:val="00044708"/>
    <w:rsid w:val="00044CA9"/>
    <w:rsid w:val="00044FFD"/>
    <w:rsid w:val="0004530C"/>
    <w:rsid w:val="0004595F"/>
    <w:rsid w:val="000466EB"/>
    <w:rsid w:val="000502B6"/>
    <w:rsid w:val="0005058B"/>
    <w:rsid w:val="000511E2"/>
    <w:rsid w:val="0005227F"/>
    <w:rsid w:val="00053050"/>
    <w:rsid w:val="000532E1"/>
    <w:rsid w:val="00053C08"/>
    <w:rsid w:val="00053CD5"/>
    <w:rsid w:val="00054C66"/>
    <w:rsid w:val="000552FD"/>
    <w:rsid w:val="00055B2A"/>
    <w:rsid w:val="00055B8F"/>
    <w:rsid w:val="0005611A"/>
    <w:rsid w:val="00056354"/>
    <w:rsid w:val="00056A0D"/>
    <w:rsid w:val="00057024"/>
    <w:rsid w:val="000576F9"/>
    <w:rsid w:val="00057830"/>
    <w:rsid w:val="00057D66"/>
    <w:rsid w:val="00060BB0"/>
    <w:rsid w:val="00060FDE"/>
    <w:rsid w:val="00061127"/>
    <w:rsid w:val="00061576"/>
    <w:rsid w:val="00061BBE"/>
    <w:rsid w:val="000624C6"/>
    <w:rsid w:val="0006262C"/>
    <w:rsid w:val="00062801"/>
    <w:rsid w:val="0006283E"/>
    <w:rsid w:val="00062C54"/>
    <w:rsid w:val="0006425A"/>
    <w:rsid w:val="00064A0C"/>
    <w:rsid w:val="000652F8"/>
    <w:rsid w:val="00066051"/>
    <w:rsid w:val="0006655A"/>
    <w:rsid w:val="00066709"/>
    <w:rsid w:val="000668BF"/>
    <w:rsid w:val="00066CF1"/>
    <w:rsid w:val="000670B6"/>
    <w:rsid w:val="00067421"/>
    <w:rsid w:val="0006755E"/>
    <w:rsid w:val="00070B9D"/>
    <w:rsid w:val="00071126"/>
    <w:rsid w:val="00071421"/>
    <w:rsid w:val="000716FC"/>
    <w:rsid w:val="000717D8"/>
    <w:rsid w:val="000719AF"/>
    <w:rsid w:val="0007325C"/>
    <w:rsid w:val="000737BB"/>
    <w:rsid w:val="00073972"/>
    <w:rsid w:val="00074063"/>
    <w:rsid w:val="000747BD"/>
    <w:rsid w:val="00074D43"/>
    <w:rsid w:val="00075A49"/>
    <w:rsid w:val="00075A83"/>
    <w:rsid w:val="00075BB5"/>
    <w:rsid w:val="00075FD2"/>
    <w:rsid w:val="000763F2"/>
    <w:rsid w:val="0007668B"/>
    <w:rsid w:val="00076A87"/>
    <w:rsid w:val="00077160"/>
    <w:rsid w:val="000774C3"/>
    <w:rsid w:val="0008021A"/>
    <w:rsid w:val="00080676"/>
    <w:rsid w:val="00080E3C"/>
    <w:rsid w:val="00081F08"/>
    <w:rsid w:val="00082359"/>
    <w:rsid w:val="0008285D"/>
    <w:rsid w:val="0008355F"/>
    <w:rsid w:val="00083BAE"/>
    <w:rsid w:val="00084922"/>
    <w:rsid w:val="00085108"/>
    <w:rsid w:val="000858AF"/>
    <w:rsid w:val="000871DA"/>
    <w:rsid w:val="00090FBE"/>
    <w:rsid w:val="00091427"/>
    <w:rsid w:val="000921EF"/>
    <w:rsid w:val="00092719"/>
    <w:rsid w:val="00092CF6"/>
    <w:rsid w:val="00093F9C"/>
    <w:rsid w:val="00094E7D"/>
    <w:rsid w:val="00094FB4"/>
    <w:rsid w:val="000950A2"/>
    <w:rsid w:val="00096925"/>
    <w:rsid w:val="00096A42"/>
    <w:rsid w:val="00097A6D"/>
    <w:rsid w:val="000A03EB"/>
    <w:rsid w:val="000A154E"/>
    <w:rsid w:val="000A18FE"/>
    <w:rsid w:val="000A24D5"/>
    <w:rsid w:val="000A2A50"/>
    <w:rsid w:val="000A3272"/>
    <w:rsid w:val="000A3BFD"/>
    <w:rsid w:val="000A3C0B"/>
    <w:rsid w:val="000A4A48"/>
    <w:rsid w:val="000A4F01"/>
    <w:rsid w:val="000A5ACA"/>
    <w:rsid w:val="000A60F0"/>
    <w:rsid w:val="000A61DE"/>
    <w:rsid w:val="000A6991"/>
    <w:rsid w:val="000A7375"/>
    <w:rsid w:val="000A7A54"/>
    <w:rsid w:val="000A7A74"/>
    <w:rsid w:val="000A7F0C"/>
    <w:rsid w:val="000B06ED"/>
    <w:rsid w:val="000B0C5C"/>
    <w:rsid w:val="000B0CE3"/>
    <w:rsid w:val="000B1D08"/>
    <w:rsid w:val="000B244F"/>
    <w:rsid w:val="000B2B92"/>
    <w:rsid w:val="000B2E78"/>
    <w:rsid w:val="000B46D0"/>
    <w:rsid w:val="000B4CB4"/>
    <w:rsid w:val="000B51BD"/>
    <w:rsid w:val="000B586F"/>
    <w:rsid w:val="000B6794"/>
    <w:rsid w:val="000C112B"/>
    <w:rsid w:val="000C136D"/>
    <w:rsid w:val="000C1437"/>
    <w:rsid w:val="000C1E51"/>
    <w:rsid w:val="000C2037"/>
    <w:rsid w:val="000C2A78"/>
    <w:rsid w:val="000C3C04"/>
    <w:rsid w:val="000C4100"/>
    <w:rsid w:val="000C5831"/>
    <w:rsid w:val="000C6F13"/>
    <w:rsid w:val="000D0302"/>
    <w:rsid w:val="000D0922"/>
    <w:rsid w:val="000D0A5A"/>
    <w:rsid w:val="000D17E7"/>
    <w:rsid w:val="000D1CD6"/>
    <w:rsid w:val="000D29B4"/>
    <w:rsid w:val="000D3070"/>
    <w:rsid w:val="000D3366"/>
    <w:rsid w:val="000D363F"/>
    <w:rsid w:val="000D5418"/>
    <w:rsid w:val="000D5548"/>
    <w:rsid w:val="000D559C"/>
    <w:rsid w:val="000D7055"/>
    <w:rsid w:val="000D70A0"/>
    <w:rsid w:val="000D7706"/>
    <w:rsid w:val="000D7CB3"/>
    <w:rsid w:val="000E02A1"/>
    <w:rsid w:val="000E05D1"/>
    <w:rsid w:val="000E06E7"/>
    <w:rsid w:val="000E159F"/>
    <w:rsid w:val="000E19DE"/>
    <w:rsid w:val="000E26F0"/>
    <w:rsid w:val="000E2BE7"/>
    <w:rsid w:val="000E2CFA"/>
    <w:rsid w:val="000E2D10"/>
    <w:rsid w:val="000E32B6"/>
    <w:rsid w:val="000E392C"/>
    <w:rsid w:val="000E412B"/>
    <w:rsid w:val="000E651F"/>
    <w:rsid w:val="000F01EB"/>
    <w:rsid w:val="000F0B21"/>
    <w:rsid w:val="000F0B41"/>
    <w:rsid w:val="000F1104"/>
    <w:rsid w:val="000F125B"/>
    <w:rsid w:val="000F1AFC"/>
    <w:rsid w:val="000F1D7F"/>
    <w:rsid w:val="000F28C6"/>
    <w:rsid w:val="000F2BB8"/>
    <w:rsid w:val="000F2D19"/>
    <w:rsid w:val="000F3EB4"/>
    <w:rsid w:val="000F42AB"/>
    <w:rsid w:val="000F44A7"/>
    <w:rsid w:val="000F451D"/>
    <w:rsid w:val="000F494D"/>
    <w:rsid w:val="000F6116"/>
    <w:rsid w:val="00100A99"/>
    <w:rsid w:val="00100B6D"/>
    <w:rsid w:val="001012F5"/>
    <w:rsid w:val="001023B6"/>
    <w:rsid w:val="0010296F"/>
    <w:rsid w:val="00102BBA"/>
    <w:rsid w:val="00102D2D"/>
    <w:rsid w:val="0010382E"/>
    <w:rsid w:val="001053AF"/>
    <w:rsid w:val="0010611B"/>
    <w:rsid w:val="001063BE"/>
    <w:rsid w:val="00106FB0"/>
    <w:rsid w:val="00107069"/>
    <w:rsid w:val="00107140"/>
    <w:rsid w:val="0010729B"/>
    <w:rsid w:val="00107580"/>
    <w:rsid w:val="00107A6C"/>
    <w:rsid w:val="00111712"/>
    <w:rsid w:val="001132C5"/>
    <w:rsid w:val="00113D1E"/>
    <w:rsid w:val="0011448D"/>
    <w:rsid w:val="00114931"/>
    <w:rsid w:val="0011566E"/>
    <w:rsid w:val="00115C50"/>
    <w:rsid w:val="00116783"/>
    <w:rsid w:val="001168CC"/>
    <w:rsid w:val="00116913"/>
    <w:rsid w:val="00116BDF"/>
    <w:rsid w:val="00120E3E"/>
    <w:rsid w:val="00121358"/>
    <w:rsid w:val="00121450"/>
    <w:rsid w:val="0012186B"/>
    <w:rsid w:val="00121971"/>
    <w:rsid w:val="001230FB"/>
    <w:rsid w:val="00124E52"/>
    <w:rsid w:val="0012501B"/>
    <w:rsid w:val="0012673E"/>
    <w:rsid w:val="00126BFC"/>
    <w:rsid w:val="00126E45"/>
    <w:rsid w:val="0012733C"/>
    <w:rsid w:val="00127F16"/>
    <w:rsid w:val="00130283"/>
    <w:rsid w:val="001302DB"/>
    <w:rsid w:val="00131B86"/>
    <w:rsid w:val="00131F1E"/>
    <w:rsid w:val="00133099"/>
    <w:rsid w:val="00133445"/>
    <w:rsid w:val="001334C5"/>
    <w:rsid w:val="0013478F"/>
    <w:rsid w:val="00134DA0"/>
    <w:rsid w:val="00135D9A"/>
    <w:rsid w:val="00136D11"/>
    <w:rsid w:val="00136FE1"/>
    <w:rsid w:val="00137476"/>
    <w:rsid w:val="001375D8"/>
    <w:rsid w:val="001375FF"/>
    <w:rsid w:val="0013761B"/>
    <w:rsid w:val="001378AF"/>
    <w:rsid w:val="00137BC5"/>
    <w:rsid w:val="00137C6B"/>
    <w:rsid w:val="001404AA"/>
    <w:rsid w:val="001404C7"/>
    <w:rsid w:val="001407E4"/>
    <w:rsid w:val="001409FB"/>
    <w:rsid w:val="00140C82"/>
    <w:rsid w:val="001415FA"/>
    <w:rsid w:val="00141601"/>
    <w:rsid w:val="001423D7"/>
    <w:rsid w:val="001427FC"/>
    <w:rsid w:val="001428CB"/>
    <w:rsid w:val="0014516C"/>
    <w:rsid w:val="001451CC"/>
    <w:rsid w:val="001464E6"/>
    <w:rsid w:val="00146980"/>
    <w:rsid w:val="00147C8C"/>
    <w:rsid w:val="00151602"/>
    <w:rsid w:val="00151807"/>
    <w:rsid w:val="001520B7"/>
    <w:rsid w:val="001521BD"/>
    <w:rsid w:val="001524FD"/>
    <w:rsid w:val="00153110"/>
    <w:rsid w:val="00153BD2"/>
    <w:rsid w:val="00154247"/>
    <w:rsid w:val="00154532"/>
    <w:rsid w:val="0015482D"/>
    <w:rsid w:val="00155906"/>
    <w:rsid w:val="00155D63"/>
    <w:rsid w:val="00157F05"/>
    <w:rsid w:val="00157F29"/>
    <w:rsid w:val="001600E8"/>
    <w:rsid w:val="00160D9B"/>
    <w:rsid w:val="00161520"/>
    <w:rsid w:val="0016313A"/>
    <w:rsid w:val="00163477"/>
    <w:rsid w:val="00163F0D"/>
    <w:rsid w:val="0016472B"/>
    <w:rsid w:val="001647C9"/>
    <w:rsid w:val="00164950"/>
    <w:rsid w:val="00164FFE"/>
    <w:rsid w:val="00165082"/>
    <w:rsid w:val="00165321"/>
    <w:rsid w:val="00165370"/>
    <w:rsid w:val="00165AD1"/>
    <w:rsid w:val="0016661D"/>
    <w:rsid w:val="00167265"/>
    <w:rsid w:val="001700D2"/>
    <w:rsid w:val="00171290"/>
    <w:rsid w:val="00173800"/>
    <w:rsid w:val="001738B1"/>
    <w:rsid w:val="00173946"/>
    <w:rsid w:val="00173D11"/>
    <w:rsid w:val="0017424C"/>
    <w:rsid w:val="00174316"/>
    <w:rsid w:val="001749DB"/>
    <w:rsid w:val="00176731"/>
    <w:rsid w:val="0017724E"/>
    <w:rsid w:val="00177D62"/>
    <w:rsid w:val="001803B0"/>
    <w:rsid w:val="00180478"/>
    <w:rsid w:val="001808C8"/>
    <w:rsid w:val="00181E8A"/>
    <w:rsid w:val="001837A3"/>
    <w:rsid w:val="00183A67"/>
    <w:rsid w:val="00184224"/>
    <w:rsid w:val="001845AB"/>
    <w:rsid w:val="00184EC8"/>
    <w:rsid w:val="0018556A"/>
    <w:rsid w:val="0018760F"/>
    <w:rsid w:val="001900E6"/>
    <w:rsid w:val="001901C8"/>
    <w:rsid w:val="00190B66"/>
    <w:rsid w:val="0019108B"/>
    <w:rsid w:val="00191276"/>
    <w:rsid w:val="00191424"/>
    <w:rsid w:val="00191887"/>
    <w:rsid w:val="00191B0A"/>
    <w:rsid w:val="001920BF"/>
    <w:rsid w:val="0019213A"/>
    <w:rsid w:val="0019316B"/>
    <w:rsid w:val="00194333"/>
    <w:rsid w:val="00195147"/>
    <w:rsid w:val="001954C6"/>
    <w:rsid w:val="00195612"/>
    <w:rsid w:val="00195E9D"/>
    <w:rsid w:val="0019756F"/>
    <w:rsid w:val="001975FF"/>
    <w:rsid w:val="00197E3A"/>
    <w:rsid w:val="001A021E"/>
    <w:rsid w:val="001A0E64"/>
    <w:rsid w:val="001A1781"/>
    <w:rsid w:val="001A22C1"/>
    <w:rsid w:val="001A2AD8"/>
    <w:rsid w:val="001A308A"/>
    <w:rsid w:val="001A4283"/>
    <w:rsid w:val="001A4B62"/>
    <w:rsid w:val="001A59E0"/>
    <w:rsid w:val="001A5B49"/>
    <w:rsid w:val="001A62F7"/>
    <w:rsid w:val="001A6AE9"/>
    <w:rsid w:val="001A7570"/>
    <w:rsid w:val="001B0772"/>
    <w:rsid w:val="001B101F"/>
    <w:rsid w:val="001B117D"/>
    <w:rsid w:val="001B1C07"/>
    <w:rsid w:val="001B1D19"/>
    <w:rsid w:val="001B36C1"/>
    <w:rsid w:val="001B37F1"/>
    <w:rsid w:val="001B3C74"/>
    <w:rsid w:val="001B485A"/>
    <w:rsid w:val="001B4BD8"/>
    <w:rsid w:val="001B50E2"/>
    <w:rsid w:val="001B534D"/>
    <w:rsid w:val="001B56CA"/>
    <w:rsid w:val="001B5ED7"/>
    <w:rsid w:val="001B6A30"/>
    <w:rsid w:val="001B6E05"/>
    <w:rsid w:val="001B7298"/>
    <w:rsid w:val="001B7F61"/>
    <w:rsid w:val="001C0152"/>
    <w:rsid w:val="001C02EB"/>
    <w:rsid w:val="001C071C"/>
    <w:rsid w:val="001C1255"/>
    <w:rsid w:val="001C1798"/>
    <w:rsid w:val="001C1B84"/>
    <w:rsid w:val="001C1DD4"/>
    <w:rsid w:val="001C318B"/>
    <w:rsid w:val="001C37C2"/>
    <w:rsid w:val="001C44EF"/>
    <w:rsid w:val="001C6A57"/>
    <w:rsid w:val="001C6EA4"/>
    <w:rsid w:val="001C73F0"/>
    <w:rsid w:val="001C75A0"/>
    <w:rsid w:val="001D0FEE"/>
    <w:rsid w:val="001D256D"/>
    <w:rsid w:val="001D296E"/>
    <w:rsid w:val="001D2C16"/>
    <w:rsid w:val="001D30AC"/>
    <w:rsid w:val="001D32ED"/>
    <w:rsid w:val="001D4072"/>
    <w:rsid w:val="001D48D5"/>
    <w:rsid w:val="001D5AE3"/>
    <w:rsid w:val="001D6153"/>
    <w:rsid w:val="001D656B"/>
    <w:rsid w:val="001D6ADD"/>
    <w:rsid w:val="001E0271"/>
    <w:rsid w:val="001E1603"/>
    <w:rsid w:val="001E1611"/>
    <w:rsid w:val="001E25E2"/>
    <w:rsid w:val="001E269E"/>
    <w:rsid w:val="001E2C50"/>
    <w:rsid w:val="001E3289"/>
    <w:rsid w:val="001E3626"/>
    <w:rsid w:val="001E3C7E"/>
    <w:rsid w:val="001E4481"/>
    <w:rsid w:val="001E4CB9"/>
    <w:rsid w:val="001E4F8A"/>
    <w:rsid w:val="001E516D"/>
    <w:rsid w:val="001F02EA"/>
    <w:rsid w:val="001F05B2"/>
    <w:rsid w:val="001F0BAA"/>
    <w:rsid w:val="001F1797"/>
    <w:rsid w:val="001F47C4"/>
    <w:rsid w:val="001F4EF9"/>
    <w:rsid w:val="001F5D38"/>
    <w:rsid w:val="001F621D"/>
    <w:rsid w:val="001F6B4D"/>
    <w:rsid w:val="001F6C3F"/>
    <w:rsid w:val="0020004E"/>
    <w:rsid w:val="00200A72"/>
    <w:rsid w:val="002020E3"/>
    <w:rsid w:val="002032DF"/>
    <w:rsid w:val="00203564"/>
    <w:rsid w:val="00203C0B"/>
    <w:rsid w:val="0020404C"/>
    <w:rsid w:val="00204C61"/>
    <w:rsid w:val="002059BF"/>
    <w:rsid w:val="002063D3"/>
    <w:rsid w:val="00206A25"/>
    <w:rsid w:val="0020750E"/>
    <w:rsid w:val="00210A7B"/>
    <w:rsid w:val="00210E82"/>
    <w:rsid w:val="002114AF"/>
    <w:rsid w:val="00211B0D"/>
    <w:rsid w:val="00211CFF"/>
    <w:rsid w:val="002126B3"/>
    <w:rsid w:val="002128E9"/>
    <w:rsid w:val="00213ABF"/>
    <w:rsid w:val="0021415B"/>
    <w:rsid w:val="002147A0"/>
    <w:rsid w:val="002150F1"/>
    <w:rsid w:val="00215BD4"/>
    <w:rsid w:val="00216D11"/>
    <w:rsid w:val="00217047"/>
    <w:rsid w:val="0021721E"/>
    <w:rsid w:val="002177B8"/>
    <w:rsid w:val="00220396"/>
    <w:rsid w:val="0022077D"/>
    <w:rsid w:val="0022147F"/>
    <w:rsid w:val="002219CF"/>
    <w:rsid w:val="002223A7"/>
    <w:rsid w:val="00222FF9"/>
    <w:rsid w:val="002232C6"/>
    <w:rsid w:val="002242AA"/>
    <w:rsid w:val="00224A29"/>
    <w:rsid w:val="00224B8A"/>
    <w:rsid w:val="00225280"/>
    <w:rsid w:val="00225FC5"/>
    <w:rsid w:val="00226002"/>
    <w:rsid w:val="002266AA"/>
    <w:rsid w:val="00226FE5"/>
    <w:rsid w:val="0022717E"/>
    <w:rsid w:val="002301D5"/>
    <w:rsid w:val="0023024E"/>
    <w:rsid w:val="00230DAF"/>
    <w:rsid w:val="002310A4"/>
    <w:rsid w:val="00232052"/>
    <w:rsid w:val="002330B0"/>
    <w:rsid w:val="00233F8E"/>
    <w:rsid w:val="00234139"/>
    <w:rsid w:val="002350CE"/>
    <w:rsid w:val="00235336"/>
    <w:rsid w:val="0023779A"/>
    <w:rsid w:val="002377AF"/>
    <w:rsid w:val="00240012"/>
    <w:rsid w:val="00240AB6"/>
    <w:rsid w:val="00240C0B"/>
    <w:rsid w:val="00240F89"/>
    <w:rsid w:val="0024121C"/>
    <w:rsid w:val="00241FF8"/>
    <w:rsid w:val="00242001"/>
    <w:rsid w:val="0024308A"/>
    <w:rsid w:val="00244002"/>
    <w:rsid w:val="0024441A"/>
    <w:rsid w:val="002444ED"/>
    <w:rsid w:val="00244607"/>
    <w:rsid w:val="00245409"/>
    <w:rsid w:val="00245967"/>
    <w:rsid w:val="00245BD1"/>
    <w:rsid w:val="00245FAC"/>
    <w:rsid w:val="00251465"/>
    <w:rsid w:val="0025146B"/>
    <w:rsid w:val="00251C5D"/>
    <w:rsid w:val="00251F52"/>
    <w:rsid w:val="002526AD"/>
    <w:rsid w:val="002531AC"/>
    <w:rsid w:val="0025324D"/>
    <w:rsid w:val="002536A5"/>
    <w:rsid w:val="002546F1"/>
    <w:rsid w:val="002548D6"/>
    <w:rsid w:val="0025492E"/>
    <w:rsid w:val="00254A7E"/>
    <w:rsid w:val="00254F1B"/>
    <w:rsid w:val="00256017"/>
    <w:rsid w:val="0025647B"/>
    <w:rsid w:val="0025662D"/>
    <w:rsid w:val="00257771"/>
    <w:rsid w:val="00260B94"/>
    <w:rsid w:val="002621CA"/>
    <w:rsid w:val="00262651"/>
    <w:rsid w:val="00262C68"/>
    <w:rsid w:val="00263190"/>
    <w:rsid w:val="00263827"/>
    <w:rsid w:val="00264691"/>
    <w:rsid w:val="00265200"/>
    <w:rsid w:val="00265E7C"/>
    <w:rsid w:val="00265FB1"/>
    <w:rsid w:val="0027009C"/>
    <w:rsid w:val="00270612"/>
    <w:rsid w:val="002707D3"/>
    <w:rsid w:val="00270BD5"/>
    <w:rsid w:val="002717CC"/>
    <w:rsid w:val="00272555"/>
    <w:rsid w:val="002730EB"/>
    <w:rsid w:val="0027380D"/>
    <w:rsid w:val="00273A3F"/>
    <w:rsid w:val="00273C95"/>
    <w:rsid w:val="00276620"/>
    <w:rsid w:val="00276B86"/>
    <w:rsid w:val="00280AF0"/>
    <w:rsid w:val="00280B48"/>
    <w:rsid w:val="00282814"/>
    <w:rsid w:val="002828DA"/>
    <w:rsid w:val="00282C1A"/>
    <w:rsid w:val="0028323A"/>
    <w:rsid w:val="002837EF"/>
    <w:rsid w:val="002850AD"/>
    <w:rsid w:val="002858F5"/>
    <w:rsid w:val="00285973"/>
    <w:rsid w:val="00286F8C"/>
    <w:rsid w:val="00287749"/>
    <w:rsid w:val="00290132"/>
    <w:rsid w:val="00290547"/>
    <w:rsid w:val="0029063C"/>
    <w:rsid w:val="00290EDD"/>
    <w:rsid w:val="0029121F"/>
    <w:rsid w:val="00293592"/>
    <w:rsid w:val="00293E8E"/>
    <w:rsid w:val="00294D3C"/>
    <w:rsid w:val="0029518E"/>
    <w:rsid w:val="0029652B"/>
    <w:rsid w:val="00296584"/>
    <w:rsid w:val="0029685F"/>
    <w:rsid w:val="002968F5"/>
    <w:rsid w:val="00296B20"/>
    <w:rsid w:val="00296E09"/>
    <w:rsid w:val="00297B16"/>
    <w:rsid w:val="002A044B"/>
    <w:rsid w:val="002A0ED3"/>
    <w:rsid w:val="002A100E"/>
    <w:rsid w:val="002A11E1"/>
    <w:rsid w:val="002A181A"/>
    <w:rsid w:val="002A2508"/>
    <w:rsid w:val="002A30A3"/>
    <w:rsid w:val="002A3C35"/>
    <w:rsid w:val="002A3C8D"/>
    <w:rsid w:val="002A5642"/>
    <w:rsid w:val="002A5C31"/>
    <w:rsid w:val="002A6BF5"/>
    <w:rsid w:val="002A6CA8"/>
    <w:rsid w:val="002B091A"/>
    <w:rsid w:val="002B1142"/>
    <w:rsid w:val="002B207D"/>
    <w:rsid w:val="002B23A6"/>
    <w:rsid w:val="002B243E"/>
    <w:rsid w:val="002B2B7A"/>
    <w:rsid w:val="002B3298"/>
    <w:rsid w:val="002B4D62"/>
    <w:rsid w:val="002B56F1"/>
    <w:rsid w:val="002B5B2B"/>
    <w:rsid w:val="002B5E39"/>
    <w:rsid w:val="002B760D"/>
    <w:rsid w:val="002B76BC"/>
    <w:rsid w:val="002B784B"/>
    <w:rsid w:val="002B7DA3"/>
    <w:rsid w:val="002B7EA3"/>
    <w:rsid w:val="002C019B"/>
    <w:rsid w:val="002C023E"/>
    <w:rsid w:val="002C09F9"/>
    <w:rsid w:val="002C2712"/>
    <w:rsid w:val="002C2C8F"/>
    <w:rsid w:val="002C2DA6"/>
    <w:rsid w:val="002C320D"/>
    <w:rsid w:val="002C3473"/>
    <w:rsid w:val="002C4B1E"/>
    <w:rsid w:val="002C4E01"/>
    <w:rsid w:val="002C59CF"/>
    <w:rsid w:val="002C5C6D"/>
    <w:rsid w:val="002C5F52"/>
    <w:rsid w:val="002C6032"/>
    <w:rsid w:val="002C6093"/>
    <w:rsid w:val="002C6750"/>
    <w:rsid w:val="002C68E3"/>
    <w:rsid w:val="002C7219"/>
    <w:rsid w:val="002C7E53"/>
    <w:rsid w:val="002D0663"/>
    <w:rsid w:val="002D06D7"/>
    <w:rsid w:val="002D1164"/>
    <w:rsid w:val="002D27F3"/>
    <w:rsid w:val="002D3404"/>
    <w:rsid w:val="002D3DDB"/>
    <w:rsid w:val="002D4482"/>
    <w:rsid w:val="002D4650"/>
    <w:rsid w:val="002D4749"/>
    <w:rsid w:val="002D4B07"/>
    <w:rsid w:val="002D5639"/>
    <w:rsid w:val="002D6326"/>
    <w:rsid w:val="002D65DF"/>
    <w:rsid w:val="002D65E7"/>
    <w:rsid w:val="002D7BAB"/>
    <w:rsid w:val="002D7EF2"/>
    <w:rsid w:val="002E0335"/>
    <w:rsid w:val="002E03ED"/>
    <w:rsid w:val="002E1DAA"/>
    <w:rsid w:val="002E2997"/>
    <w:rsid w:val="002E3886"/>
    <w:rsid w:val="002E4BE6"/>
    <w:rsid w:val="002E4ED3"/>
    <w:rsid w:val="002E5EB5"/>
    <w:rsid w:val="002E5ED3"/>
    <w:rsid w:val="002E63FF"/>
    <w:rsid w:val="002E6F66"/>
    <w:rsid w:val="002E7633"/>
    <w:rsid w:val="002E79D5"/>
    <w:rsid w:val="002E7D7C"/>
    <w:rsid w:val="002F0901"/>
    <w:rsid w:val="002F117E"/>
    <w:rsid w:val="002F1711"/>
    <w:rsid w:val="002F191B"/>
    <w:rsid w:val="002F19E3"/>
    <w:rsid w:val="002F2FC3"/>
    <w:rsid w:val="002F3329"/>
    <w:rsid w:val="002F421D"/>
    <w:rsid w:val="002F4878"/>
    <w:rsid w:val="002F4994"/>
    <w:rsid w:val="002F5E74"/>
    <w:rsid w:val="002F5F2F"/>
    <w:rsid w:val="002F6A70"/>
    <w:rsid w:val="002F6E8C"/>
    <w:rsid w:val="00300F2E"/>
    <w:rsid w:val="0030130A"/>
    <w:rsid w:val="003013C2"/>
    <w:rsid w:val="0030141E"/>
    <w:rsid w:val="00302BAA"/>
    <w:rsid w:val="00302F18"/>
    <w:rsid w:val="0030313A"/>
    <w:rsid w:val="003041BC"/>
    <w:rsid w:val="00304A29"/>
    <w:rsid w:val="00305C03"/>
    <w:rsid w:val="0030683D"/>
    <w:rsid w:val="00307335"/>
    <w:rsid w:val="00307D85"/>
    <w:rsid w:val="0031018D"/>
    <w:rsid w:val="00310664"/>
    <w:rsid w:val="00311827"/>
    <w:rsid w:val="00311CBA"/>
    <w:rsid w:val="0031278B"/>
    <w:rsid w:val="00312B99"/>
    <w:rsid w:val="0031367D"/>
    <w:rsid w:val="0031433C"/>
    <w:rsid w:val="0031576D"/>
    <w:rsid w:val="00315CCB"/>
    <w:rsid w:val="00316E20"/>
    <w:rsid w:val="0031721F"/>
    <w:rsid w:val="00320FBC"/>
    <w:rsid w:val="00322C85"/>
    <w:rsid w:val="00322E6D"/>
    <w:rsid w:val="0032495F"/>
    <w:rsid w:val="00324C65"/>
    <w:rsid w:val="003253B9"/>
    <w:rsid w:val="003257DD"/>
    <w:rsid w:val="00325883"/>
    <w:rsid w:val="00325AF9"/>
    <w:rsid w:val="00325D0B"/>
    <w:rsid w:val="00325DC0"/>
    <w:rsid w:val="003264A1"/>
    <w:rsid w:val="00326796"/>
    <w:rsid w:val="003269DF"/>
    <w:rsid w:val="00326E9D"/>
    <w:rsid w:val="0032731E"/>
    <w:rsid w:val="00330355"/>
    <w:rsid w:val="00330526"/>
    <w:rsid w:val="003309AB"/>
    <w:rsid w:val="00331418"/>
    <w:rsid w:val="00331F72"/>
    <w:rsid w:val="00332AF5"/>
    <w:rsid w:val="003335C1"/>
    <w:rsid w:val="0033404F"/>
    <w:rsid w:val="0033412F"/>
    <w:rsid w:val="0033490F"/>
    <w:rsid w:val="00334A9E"/>
    <w:rsid w:val="00334AB1"/>
    <w:rsid w:val="00335079"/>
    <w:rsid w:val="00335A4D"/>
    <w:rsid w:val="00336DF6"/>
    <w:rsid w:val="003378FA"/>
    <w:rsid w:val="0034055B"/>
    <w:rsid w:val="003408E0"/>
    <w:rsid w:val="00340F6E"/>
    <w:rsid w:val="003418ED"/>
    <w:rsid w:val="0034253F"/>
    <w:rsid w:val="00342F0C"/>
    <w:rsid w:val="0034512A"/>
    <w:rsid w:val="0034560F"/>
    <w:rsid w:val="00345DE7"/>
    <w:rsid w:val="003462CC"/>
    <w:rsid w:val="003469F3"/>
    <w:rsid w:val="00346BAC"/>
    <w:rsid w:val="0034745B"/>
    <w:rsid w:val="00347997"/>
    <w:rsid w:val="00350D9A"/>
    <w:rsid w:val="00350FC5"/>
    <w:rsid w:val="00351AF3"/>
    <w:rsid w:val="0035378D"/>
    <w:rsid w:val="0035387E"/>
    <w:rsid w:val="0035390F"/>
    <w:rsid w:val="003541B2"/>
    <w:rsid w:val="00354453"/>
    <w:rsid w:val="003547A3"/>
    <w:rsid w:val="00354858"/>
    <w:rsid w:val="003579FF"/>
    <w:rsid w:val="00360167"/>
    <w:rsid w:val="00360410"/>
    <w:rsid w:val="00360463"/>
    <w:rsid w:val="003605DF"/>
    <w:rsid w:val="00362C58"/>
    <w:rsid w:val="00362C82"/>
    <w:rsid w:val="00364469"/>
    <w:rsid w:val="00365633"/>
    <w:rsid w:val="00365B51"/>
    <w:rsid w:val="00365D38"/>
    <w:rsid w:val="00366A42"/>
    <w:rsid w:val="003670F1"/>
    <w:rsid w:val="00367656"/>
    <w:rsid w:val="00367682"/>
    <w:rsid w:val="00367C92"/>
    <w:rsid w:val="00367F70"/>
    <w:rsid w:val="003718FA"/>
    <w:rsid w:val="00371E14"/>
    <w:rsid w:val="003735E3"/>
    <w:rsid w:val="00374BBA"/>
    <w:rsid w:val="00375465"/>
    <w:rsid w:val="00375913"/>
    <w:rsid w:val="00376174"/>
    <w:rsid w:val="00376F72"/>
    <w:rsid w:val="00377A45"/>
    <w:rsid w:val="00377C35"/>
    <w:rsid w:val="0038038D"/>
    <w:rsid w:val="003803B7"/>
    <w:rsid w:val="00380417"/>
    <w:rsid w:val="00380869"/>
    <w:rsid w:val="00380D42"/>
    <w:rsid w:val="00380EAA"/>
    <w:rsid w:val="00380F08"/>
    <w:rsid w:val="003813DB"/>
    <w:rsid w:val="00381703"/>
    <w:rsid w:val="00382BD0"/>
    <w:rsid w:val="00383461"/>
    <w:rsid w:val="0038384E"/>
    <w:rsid w:val="0038538D"/>
    <w:rsid w:val="00385833"/>
    <w:rsid w:val="00385C1E"/>
    <w:rsid w:val="00385FD9"/>
    <w:rsid w:val="00386E82"/>
    <w:rsid w:val="0038700B"/>
    <w:rsid w:val="003870CB"/>
    <w:rsid w:val="00387AB3"/>
    <w:rsid w:val="00390BA8"/>
    <w:rsid w:val="00390E90"/>
    <w:rsid w:val="00391C3C"/>
    <w:rsid w:val="00392E52"/>
    <w:rsid w:val="00393966"/>
    <w:rsid w:val="00394183"/>
    <w:rsid w:val="0039419B"/>
    <w:rsid w:val="003944C7"/>
    <w:rsid w:val="0039451A"/>
    <w:rsid w:val="0039466F"/>
    <w:rsid w:val="003947DA"/>
    <w:rsid w:val="00394A6E"/>
    <w:rsid w:val="00395426"/>
    <w:rsid w:val="00395BF2"/>
    <w:rsid w:val="0039663A"/>
    <w:rsid w:val="00396950"/>
    <w:rsid w:val="003A0DCE"/>
    <w:rsid w:val="003A15ED"/>
    <w:rsid w:val="003A16B8"/>
    <w:rsid w:val="003A247C"/>
    <w:rsid w:val="003A310A"/>
    <w:rsid w:val="003A3B4B"/>
    <w:rsid w:val="003A43C2"/>
    <w:rsid w:val="003A4E5C"/>
    <w:rsid w:val="003A5070"/>
    <w:rsid w:val="003A6470"/>
    <w:rsid w:val="003A66C5"/>
    <w:rsid w:val="003A7D12"/>
    <w:rsid w:val="003B131D"/>
    <w:rsid w:val="003B1B74"/>
    <w:rsid w:val="003B1FCE"/>
    <w:rsid w:val="003B28E6"/>
    <w:rsid w:val="003B32B3"/>
    <w:rsid w:val="003B57B7"/>
    <w:rsid w:val="003B5F39"/>
    <w:rsid w:val="003B7A7C"/>
    <w:rsid w:val="003C0082"/>
    <w:rsid w:val="003C0182"/>
    <w:rsid w:val="003C0257"/>
    <w:rsid w:val="003C0661"/>
    <w:rsid w:val="003C0A1B"/>
    <w:rsid w:val="003C137D"/>
    <w:rsid w:val="003C15AB"/>
    <w:rsid w:val="003C1B93"/>
    <w:rsid w:val="003C2127"/>
    <w:rsid w:val="003C214E"/>
    <w:rsid w:val="003C2B45"/>
    <w:rsid w:val="003C2B72"/>
    <w:rsid w:val="003C58F2"/>
    <w:rsid w:val="003C68BB"/>
    <w:rsid w:val="003C69A9"/>
    <w:rsid w:val="003D0DD6"/>
    <w:rsid w:val="003D0DDE"/>
    <w:rsid w:val="003D2A56"/>
    <w:rsid w:val="003D2AB0"/>
    <w:rsid w:val="003D2ABE"/>
    <w:rsid w:val="003D3007"/>
    <w:rsid w:val="003D3798"/>
    <w:rsid w:val="003D3B32"/>
    <w:rsid w:val="003D424F"/>
    <w:rsid w:val="003D4D78"/>
    <w:rsid w:val="003D4E4B"/>
    <w:rsid w:val="003D6113"/>
    <w:rsid w:val="003D61CB"/>
    <w:rsid w:val="003D69FB"/>
    <w:rsid w:val="003D6D0A"/>
    <w:rsid w:val="003D713F"/>
    <w:rsid w:val="003D7FBD"/>
    <w:rsid w:val="003E047C"/>
    <w:rsid w:val="003E0A19"/>
    <w:rsid w:val="003E1817"/>
    <w:rsid w:val="003E1864"/>
    <w:rsid w:val="003E2C27"/>
    <w:rsid w:val="003E480F"/>
    <w:rsid w:val="003E4A05"/>
    <w:rsid w:val="003E55A2"/>
    <w:rsid w:val="003E568E"/>
    <w:rsid w:val="003E5F1A"/>
    <w:rsid w:val="003E5FAE"/>
    <w:rsid w:val="003E655C"/>
    <w:rsid w:val="003E6BC8"/>
    <w:rsid w:val="003F00A8"/>
    <w:rsid w:val="003F0538"/>
    <w:rsid w:val="003F0A51"/>
    <w:rsid w:val="003F0AE5"/>
    <w:rsid w:val="003F0C42"/>
    <w:rsid w:val="003F16D2"/>
    <w:rsid w:val="003F1CBE"/>
    <w:rsid w:val="003F28EC"/>
    <w:rsid w:val="003F2ACA"/>
    <w:rsid w:val="003F2ECD"/>
    <w:rsid w:val="003F38BC"/>
    <w:rsid w:val="003F4019"/>
    <w:rsid w:val="003F4725"/>
    <w:rsid w:val="003F51BE"/>
    <w:rsid w:val="003F7971"/>
    <w:rsid w:val="003F7B7A"/>
    <w:rsid w:val="00400DA9"/>
    <w:rsid w:val="00400E09"/>
    <w:rsid w:val="00401167"/>
    <w:rsid w:val="00401A81"/>
    <w:rsid w:val="004026EF"/>
    <w:rsid w:val="0040295B"/>
    <w:rsid w:val="00403DFD"/>
    <w:rsid w:val="00403F0A"/>
    <w:rsid w:val="004045CA"/>
    <w:rsid w:val="0040487D"/>
    <w:rsid w:val="004060C9"/>
    <w:rsid w:val="004074E8"/>
    <w:rsid w:val="00410239"/>
    <w:rsid w:val="00410515"/>
    <w:rsid w:val="00410741"/>
    <w:rsid w:val="0041120B"/>
    <w:rsid w:val="004115E6"/>
    <w:rsid w:val="004120B0"/>
    <w:rsid w:val="00412B39"/>
    <w:rsid w:val="00412E17"/>
    <w:rsid w:val="004138CC"/>
    <w:rsid w:val="00413F4C"/>
    <w:rsid w:val="00414B79"/>
    <w:rsid w:val="00414EAB"/>
    <w:rsid w:val="004150EC"/>
    <w:rsid w:val="004151EC"/>
    <w:rsid w:val="0041567C"/>
    <w:rsid w:val="0041649F"/>
    <w:rsid w:val="00416962"/>
    <w:rsid w:val="00416D21"/>
    <w:rsid w:val="00417F1A"/>
    <w:rsid w:val="004201C0"/>
    <w:rsid w:val="004202D8"/>
    <w:rsid w:val="00420761"/>
    <w:rsid w:val="00421BAB"/>
    <w:rsid w:val="00421C7D"/>
    <w:rsid w:val="00422233"/>
    <w:rsid w:val="00422383"/>
    <w:rsid w:val="00422832"/>
    <w:rsid w:val="00422FFB"/>
    <w:rsid w:val="00423260"/>
    <w:rsid w:val="004237FA"/>
    <w:rsid w:val="00423844"/>
    <w:rsid w:val="00423A03"/>
    <w:rsid w:val="00424170"/>
    <w:rsid w:val="004243E3"/>
    <w:rsid w:val="004245B4"/>
    <w:rsid w:val="004245F5"/>
    <w:rsid w:val="00424851"/>
    <w:rsid w:val="004249B9"/>
    <w:rsid w:val="004254CC"/>
    <w:rsid w:val="004266B5"/>
    <w:rsid w:val="0042687D"/>
    <w:rsid w:val="00426A62"/>
    <w:rsid w:val="00427002"/>
    <w:rsid w:val="00427E8F"/>
    <w:rsid w:val="0043059E"/>
    <w:rsid w:val="0043085A"/>
    <w:rsid w:val="00430B7B"/>
    <w:rsid w:val="0043136F"/>
    <w:rsid w:val="0043142B"/>
    <w:rsid w:val="0043174A"/>
    <w:rsid w:val="00433225"/>
    <w:rsid w:val="00433971"/>
    <w:rsid w:val="004340AE"/>
    <w:rsid w:val="004342EA"/>
    <w:rsid w:val="00434701"/>
    <w:rsid w:val="004349A3"/>
    <w:rsid w:val="00435073"/>
    <w:rsid w:val="004361F2"/>
    <w:rsid w:val="004362AC"/>
    <w:rsid w:val="004367B1"/>
    <w:rsid w:val="0043680B"/>
    <w:rsid w:val="0043766E"/>
    <w:rsid w:val="004377F0"/>
    <w:rsid w:val="00440876"/>
    <w:rsid w:val="00440965"/>
    <w:rsid w:val="00440D6A"/>
    <w:rsid w:val="004429F6"/>
    <w:rsid w:val="00442B94"/>
    <w:rsid w:val="00442E14"/>
    <w:rsid w:val="004435E2"/>
    <w:rsid w:val="00443762"/>
    <w:rsid w:val="00443800"/>
    <w:rsid w:val="00444098"/>
    <w:rsid w:val="004450BF"/>
    <w:rsid w:val="004453F3"/>
    <w:rsid w:val="00445547"/>
    <w:rsid w:val="00445ACF"/>
    <w:rsid w:val="00446637"/>
    <w:rsid w:val="00446A71"/>
    <w:rsid w:val="004512AF"/>
    <w:rsid w:val="00451458"/>
    <w:rsid w:val="00451D4E"/>
    <w:rsid w:val="00452B1B"/>
    <w:rsid w:val="00453086"/>
    <w:rsid w:val="0045345B"/>
    <w:rsid w:val="00453CBD"/>
    <w:rsid w:val="00454548"/>
    <w:rsid w:val="0045463D"/>
    <w:rsid w:val="00457026"/>
    <w:rsid w:val="004570F9"/>
    <w:rsid w:val="0045715C"/>
    <w:rsid w:val="00457D84"/>
    <w:rsid w:val="00457FA3"/>
    <w:rsid w:val="00460111"/>
    <w:rsid w:val="00460915"/>
    <w:rsid w:val="00460C64"/>
    <w:rsid w:val="00462B0B"/>
    <w:rsid w:val="00462B8E"/>
    <w:rsid w:val="00464330"/>
    <w:rsid w:val="00465087"/>
    <w:rsid w:val="0046511C"/>
    <w:rsid w:val="004655C4"/>
    <w:rsid w:val="00466E03"/>
    <w:rsid w:val="00466F4C"/>
    <w:rsid w:val="00467589"/>
    <w:rsid w:val="0046769C"/>
    <w:rsid w:val="00467AE9"/>
    <w:rsid w:val="00470031"/>
    <w:rsid w:val="00470075"/>
    <w:rsid w:val="00470E77"/>
    <w:rsid w:val="004710CC"/>
    <w:rsid w:val="0047148F"/>
    <w:rsid w:val="00471DFA"/>
    <w:rsid w:val="00472050"/>
    <w:rsid w:val="004723D8"/>
    <w:rsid w:val="0047247F"/>
    <w:rsid w:val="004725F2"/>
    <w:rsid w:val="00472C11"/>
    <w:rsid w:val="00472C4E"/>
    <w:rsid w:val="004734D0"/>
    <w:rsid w:val="0047364C"/>
    <w:rsid w:val="0047464A"/>
    <w:rsid w:val="00474680"/>
    <w:rsid w:val="004748BD"/>
    <w:rsid w:val="00474F9F"/>
    <w:rsid w:val="0047516A"/>
    <w:rsid w:val="0047551B"/>
    <w:rsid w:val="004755A5"/>
    <w:rsid w:val="00475719"/>
    <w:rsid w:val="00475992"/>
    <w:rsid w:val="00480449"/>
    <w:rsid w:val="004813A2"/>
    <w:rsid w:val="00481992"/>
    <w:rsid w:val="00481CEA"/>
    <w:rsid w:val="0048249C"/>
    <w:rsid w:val="004827B1"/>
    <w:rsid w:val="00483305"/>
    <w:rsid w:val="00483770"/>
    <w:rsid w:val="00484340"/>
    <w:rsid w:val="004851E8"/>
    <w:rsid w:val="00486C70"/>
    <w:rsid w:val="00487310"/>
    <w:rsid w:val="00487A31"/>
    <w:rsid w:val="00490A7C"/>
    <w:rsid w:val="004916F0"/>
    <w:rsid w:val="004928DA"/>
    <w:rsid w:val="00492AB0"/>
    <w:rsid w:val="00492B57"/>
    <w:rsid w:val="00493F44"/>
    <w:rsid w:val="004966F7"/>
    <w:rsid w:val="00497E7A"/>
    <w:rsid w:val="004A17CD"/>
    <w:rsid w:val="004A1C24"/>
    <w:rsid w:val="004A255A"/>
    <w:rsid w:val="004A3232"/>
    <w:rsid w:val="004A3D0F"/>
    <w:rsid w:val="004A3F4D"/>
    <w:rsid w:val="004A4535"/>
    <w:rsid w:val="004A46D0"/>
    <w:rsid w:val="004A49BB"/>
    <w:rsid w:val="004A542D"/>
    <w:rsid w:val="004A6C17"/>
    <w:rsid w:val="004A76B4"/>
    <w:rsid w:val="004B006D"/>
    <w:rsid w:val="004B0142"/>
    <w:rsid w:val="004B0327"/>
    <w:rsid w:val="004B035F"/>
    <w:rsid w:val="004B17C9"/>
    <w:rsid w:val="004B1B7C"/>
    <w:rsid w:val="004B1BDE"/>
    <w:rsid w:val="004B2387"/>
    <w:rsid w:val="004B2D6B"/>
    <w:rsid w:val="004B2E41"/>
    <w:rsid w:val="004B3458"/>
    <w:rsid w:val="004B3C89"/>
    <w:rsid w:val="004B5F7F"/>
    <w:rsid w:val="004B6EDB"/>
    <w:rsid w:val="004B78C8"/>
    <w:rsid w:val="004C0AF8"/>
    <w:rsid w:val="004C106C"/>
    <w:rsid w:val="004C2119"/>
    <w:rsid w:val="004C3D8D"/>
    <w:rsid w:val="004C47D9"/>
    <w:rsid w:val="004C543D"/>
    <w:rsid w:val="004C6375"/>
    <w:rsid w:val="004D000E"/>
    <w:rsid w:val="004D0DAB"/>
    <w:rsid w:val="004D16FC"/>
    <w:rsid w:val="004D1E58"/>
    <w:rsid w:val="004D1F11"/>
    <w:rsid w:val="004D2504"/>
    <w:rsid w:val="004D2650"/>
    <w:rsid w:val="004D2D09"/>
    <w:rsid w:val="004D36EF"/>
    <w:rsid w:val="004D3A4A"/>
    <w:rsid w:val="004D4103"/>
    <w:rsid w:val="004D4D3B"/>
    <w:rsid w:val="004D5E1F"/>
    <w:rsid w:val="004D6ED9"/>
    <w:rsid w:val="004D7FC9"/>
    <w:rsid w:val="004E0700"/>
    <w:rsid w:val="004E09BD"/>
    <w:rsid w:val="004E0F00"/>
    <w:rsid w:val="004E10E4"/>
    <w:rsid w:val="004E18BE"/>
    <w:rsid w:val="004E2616"/>
    <w:rsid w:val="004E3EB3"/>
    <w:rsid w:val="004E4B85"/>
    <w:rsid w:val="004E5032"/>
    <w:rsid w:val="004E554B"/>
    <w:rsid w:val="004E67B5"/>
    <w:rsid w:val="004E6BAC"/>
    <w:rsid w:val="004F1059"/>
    <w:rsid w:val="004F16F7"/>
    <w:rsid w:val="004F1824"/>
    <w:rsid w:val="004F2EF0"/>
    <w:rsid w:val="004F3664"/>
    <w:rsid w:val="004F3BC9"/>
    <w:rsid w:val="004F4511"/>
    <w:rsid w:val="004F47F3"/>
    <w:rsid w:val="004F5D22"/>
    <w:rsid w:val="004F5F5D"/>
    <w:rsid w:val="004F738B"/>
    <w:rsid w:val="004F7535"/>
    <w:rsid w:val="004F7CB4"/>
    <w:rsid w:val="005001C7"/>
    <w:rsid w:val="00500247"/>
    <w:rsid w:val="005008A9"/>
    <w:rsid w:val="00500EE9"/>
    <w:rsid w:val="00500FB5"/>
    <w:rsid w:val="00501A6E"/>
    <w:rsid w:val="00501A87"/>
    <w:rsid w:val="00502729"/>
    <w:rsid w:val="00502A93"/>
    <w:rsid w:val="00502ABC"/>
    <w:rsid w:val="005036E1"/>
    <w:rsid w:val="00503D7F"/>
    <w:rsid w:val="00504345"/>
    <w:rsid w:val="0050502E"/>
    <w:rsid w:val="005055F5"/>
    <w:rsid w:val="00505F93"/>
    <w:rsid w:val="0050620A"/>
    <w:rsid w:val="00506FAA"/>
    <w:rsid w:val="005070B6"/>
    <w:rsid w:val="00507F6E"/>
    <w:rsid w:val="0051074A"/>
    <w:rsid w:val="00511537"/>
    <w:rsid w:val="0051183F"/>
    <w:rsid w:val="0051189A"/>
    <w:rsid w:val="00511E2D"/>
    <w:rsid w:val="00512AC1"/>
    <w:rsid w:val="005133C8"/>
    <w:rsid w:val="0051354C"/>
    <w:rsid w:val="005135A8"/>
    <w:rsid w:val="00514B58"/>
    <w:rsid w:val="00514EC5"/>
    <w:rsid w:val="00515058"/>
    <w:rsid w:val="00515793"/>
    <w:rsid w:val="005159F6"/>
    <w:rsid w:val="005178DD"/>
    <w:rsid w:val="00517B44"/>
    <w:rsid w:val="005204C4"/>
    <w:rsid w:val="0052079C"/>
    <w:rsid w:val="005221BE"/>
    <w:rsid w:val="005222E4"/>
    <w:rsid w:val="00522C35"/>
    <w:rsid w:val="00522F92"/>
    <w:rsid w:val="00523016"/>
    <w:rsid w:val="00523943"/>
    <w:rsid w:val="005249C7"/>
    <w:rsid w:val="005249D5"/>
    <w:rsid w:val="00525459"/>
    <w:rsid w:val="0052659D"/>
    <w:rsid w:val="00527075"/>
    <w:rsid w:val="0052745C"/>
    <w:rsid w:val="0052797F"/>
    <w:rsid w:val="005311A7"/>
    <w:rsid w:val="00532182"/>
    <w:rsid w:val="00532961"/>
    <w:rsid w:val="005338CC"/>
    <w:rsid w:val="00534338"/>
    <w:rsid w:val="00534814"/>
    <w:rsid w:val="0053503B"/>
    <w:rsid w:val="005359FE"/>
    <w:rsid w:val="00535BD2"/>
    <w:rsid w:val="00535CB9"/>
    <w:rsid w:val="0053608B"/>
    <w:rsid w:val="005360FD"/>
    <w:rsid w:val="0053619A"/>
    <w:rsid w:val="00537089"/>
    <w:rsid w:val="0053770F"/>
    <w:rsid w:val="00540A87"/>
    <w:rsid w:val="005410E3"/>
    <w:rsid w:val="00541547"/>
    <w:rsid w:val="00542B76"/>
    <w:rsid w:val="005438FE"/>
    <w:rsid w:val="00543AB6"/>
    <w:rsid w:val="005440B2"/>
    <w:rsid w:val="00544B1F"/>
    <w:rsid w:val="00544FD9"/>
    <w:rsid w:val="00545A03"/>
    <w:rsid w:val="005460B2"/>
    <w:rsid w:val="005466CE"/>
    <w:rsid w:val="00550791"/>
    <w:rsid w:val="0055178A"/>
    <w:rsid w:val="00551FB3"/>
    <w:rsid w:val="00551FE3"/>
    <w:rsid w:val="00552369"/>
    <w:rsid w:val="00552D06"/>
    <w:rsid w:val="00552D29"/>
    <w:rsid w:val="005531C3"/>
    <w:rsid w:val="0055321D"/>
    <w:rsid w:val="00553BC1"/>
    <w:rsid w:val="00555104"/>
    <w:rsid w:val="005559FD"/>
    <w:rsid w:val="00555CE9"/>
    <w:rsid w:val="005563FA"/>
    <w:rsid w:val="0055656B"/>
    <w:rsid w:val="00557310"/>
    <w:rsid w:val="005601E2"/>
    <w:rsid w:val="00560899"/>
    <w:rsid w:val="00560EE2"/>
    <w:rsid w:val="005613B2"/>
    <w:rsid w:val="0056178B"/>
    <w:rsid w:val="005619B1"/>
    <w:rsid w:val="00562242"/>
    <w:rsid w:val="00562259"/>
    <w:rsid w:val="00562D34"/>
    <w:rsid w:val="0056555C"/>
    <w:rsid w:val="00566376"/>
    <w:rsid w:val="00566994"/>
    <w:rsid w:val="00566E5C"/>
    <w:rsid w:val="005701A5"/>
    <w:rsid w:val="0057027F"/>
    <w:rsid w:val="00570587"/>
    <w:rsid w:val="00570AA9"/>
    <w:rsid w:val="00571F3B"/>
    <w:rsid w:val="0057349E"/>
    <w:rsid w:val="00573CF9"/>
    <w:rsid w:val="00576098"/>
    <w:rsid w:val="00576969"/>
    <w:rsid w:val="00576FB0"/>
    <w:rsid w:val="005777AE"/>
    <w:rsid w:val="005778FB"/>
    <w:rsid w:val="00577F26"/>
    <w:rsid w:val="00580F72"/>
    <w:rsid w:val="005812AE"/>
    <w:rsid w:val="00581503"/>
    <w:rsid w:val="005817A2"/>
    <w:rsid w:val="00582A6F"/>
    <w:rsid w:val="00583B68"/>
    <w:rsid w:val="0058406E"/>
    <w:rsid w:val="00584BCD"/>
    <w:rsid w:val="00585BA9"/>
    <w:rsid w:val="00585BE9"/>
    <w:rsid w:val="0058712C"/>
    <w:rsid w:val="005906B0"/>
    <w:rsid w:val="005909DB"/>
    <w:rsid w:val="00590F86"/>
    <w:rsid w:val="0059242A"/>
    <w:rsid w:val="0059294F"/>
    <w:rsid w:val="00593CB2"/>
    <w:rsid w:val="00595DD1"/>
    <w:rsid w:val="005961CD"/>
    <w:rsid w:val="00596B41"/>
    <w:rsid w:val="005A000D"/>
    <w:rsid w:val="005A03D4"/>
    <w:rsid w:val="005A0DCD"/>
    <w:rsid w:val="005A18BB"/>
    <w:rsid w:val="005A1A13"/>
    <w:rsid w:val="005A1EAB"/>
    <w:rsid w:val="005A1EFD"/>
    <w:rsid w:val="005A2026"/>
    <w:rsid w:val="005A2806"/>
    <w:rsid w:val="005A2F92"/>
    <w:rsid w:val="005A343C"/>
    <w:rsid w:val="005A4154"/>
    <w:rsid w:val="005A4512"/>
    <w:rsid w:val="005A4833"/>
    <w:rsid w:val="005A492A"/>
    <w:rsid w:val="005A4D32"/>
    <w:rsid w:val="005A4EE7"/>
    <w:rsid w:val="005A5402"/>
    <w:rsid w:val="005A699F"/>
    <w:rsid w:val="005A6A83"/>
    <w:rsid w:val="005A7115"/>
    <w:rsid w:val="005A730B"/>
    <w:rsid w:val="005A7365"/>
    <w:rsid w:val="005A754F"/>
    <w:rsid w:val="005A76B7"/>
    <w:rsid w:val="005A7734"/>
    <w:rsid w:val="005B0135"/>
    <w:rsid w:val="005B0150"/>
    <w:rsid w:val="005B082C"/>
    <w:rsid w:val="005B0C9B"/>
    <w:rsid w:val="005B15F9"/>
    <w:rsid w:val="005B21E5"/>
    <w:rsid w:val="005B2215"/>
    <w:rsid w:val="005B2B81"/>
    <w:rsid w:val="005B2C04"/>
    <w:rsid w:val="005B3498"/>
    <w:rsid w:val="005B39C2"/>
    <w:rsid w:val="005B3B6C"/>
    <w:rsid w:val="005B3D95"/>
    <w:rsid w:val="005B4FE2"/>
    <w:rsid w:val="005B60DF"/>
    <w:rsid w:val="005B65DC"/>
    <w:rsid w:val="005B68E8"/>
    <w:rsid w:val="005B6B38"/>
    <w:rsid w:val="005C0412"/>
    <w:rsid w:val="005C0F45"/>
    <w:rsid w:val="005C1353"/>
    <w:rsid w:val="005C29B2"/>
    <w:rsid w:val="005C47A9"/>
    <w:rsid w:val="005C5567"/>
    <w:rsid w:val="005C6439"/>
    <w:rsid w:val="005C69D5"/>
    <w:rsid w:val="005C7C46"/>
    <w:rsid w:val="005C7F6B"/>
    <w:rsid w:val="005D1FB9"/>
    <w:rsid w:val="005D3286"/>
    <w:rsid w:val="005D3847"/>
    <w:rsid w:val="005D388D"/>
    <w:rsid w:val="005D3B6D"/>
    <w:rsid w:val="005D3EB6"/>
    <w:rsid w:val="005D4CFE"/>
    <w:rsid w:val="005D5BC6"/>
    <w:rsid w:val="005D5E2A"/>
    <w:rsid w:val="005D60D2"/>
    <w:rsid w:val="005D646A"/>
    <w:rsid w:val="005D72ED"/>
    <w:rsid w:val="005D730A"/>
    <w:rsid w:val="005D7602"/>
    <w:rsid w:val="005D7AD3"/>
    <w:rsid w:val="005D7ECB"/>
    <w:rsid w:val="005E07DD"/>
    <w:rsid w:val="005E0C3F"/>
    <w:rsid w:val="005E189D"/>
    <w:rsid w:val="005E196D"/>
    <w:rsid w:val="005E45DA"/>
    <w:rsid w:val="005E4B6E"/>
    <w:rsid w:val="005E4BA2"/>
    <w:rsid w:val="005E4C98"/>
    <w:rsid w:val="005E4FC1"/>
    <w:rsid w:val="005E52F1"/>
    <w:rsid w:val="005E54D5"/>
    <w:rsid w:val="005E58DD"/>
    <w:rsid w:val="005E5B7B"/>
    <w:rsid w:val="005E5CFD"/>
    <w:rsid w:val="005E6C98"/>
    <w:rsid w:val="005F03DA"/>
    <w:rsid w:val="005F06FE"/>
    <w:rsid w:val="005F0C8B"/>
    <w:rsid w:val="005F168E"/>
    <w:rsid w:val="005F2684"/>
    <w:rsid w:val="005F2BF1"/>
    <w:rsid w:val="005F39D0"/>
    <w:rsid w:val="005F3AD3"/>
    <w:rsid w:val="005F46BA"/>
    <w:rsid w:val="005F4A75"/>
    <w:rsid w:val="005F63DE"/>
    <w:rsid w:val="005F6755"/>
    <w:rsid w:val="005F7217"/>
    <w:rsid w:val="005F7529"/>
    <w:rsid w:val="005F7711"/>
    <w:rsid w:val="005F7DEA"/>
    <w:rsid w:val="006023EC"/>
    <w:rsid w:val="006028F5"/>
    <w:rsid w:val="00603AE0"/>
    <w:rsid w:val="00605364"/>
    <w:rsid w:val="00605CD9"/>
    <w:rsid w:val="00606D96"/>
    <w:rsid w:val="006070B7"/>
    <w:rsid w:val="00607420"/>
    <w:rsid w:val="00607540"/>
    <w:rsid w:val="006078B1"/>
    <w:rsid w:val="00607C14"/>
    <w:rsid w:val="00607D7C"/>
    <w:rsid w:val="006102E7"/>
    <w:rsid w:val="006106DB"/>
    <w:rsid w:val="00610732"/>
    <w:rsid w:val="00612C55"/>
    <w:rsid w:val="00612D5F"/>
    <w:rsid w:val="00613125"/>
    <w:rsid w:val="006134F8"/>
    <w:rsid w:val="0061477A"/>
    <w:rsid w:val="00615C52"/>
    <w:rsid w:val="00615E34"/>
    <w:rsid w:val="0061616B"/>
    <w:rsid w:val="0061698F"/>
    <w:rsid w:val="00616D5F"/>
    <w:rsid w:val="00616FDA"/>
    <w:rsid w:val="0062092C"/>
    <w:rsid w:val="0062111B"/>
    <w:rsid w:val="006212FA"/>
    <w:rsid w:val="00621880"/>
    <w:rsid w:val="006222D9"/>
    <w:rsid w:val="006226D0"/>
    <w:rsid w:val="00622718"/>
    <w:rsid w:val="00622927"/>
    <w:rsid w:val="0062295D"/>
    <w:rsid w:val="00622A93"/>
    <w:rsid w:val="00622D7D"/>
    <w:rsid w:val="006239C9"/>
    <w:rsid w:val="00623E6D"/>
    <w:rsid w:val="006253EC"/>
    <w:rsid w:val="00625717"/>
    <w:rsid w:val="00625928"/>
    <w:rsid w:val="006266F0"/>
    <w:rsid w:val="00627362"/>
    <w:rsid w:val="0062743B"/>
    <w:rsid w:val="00630099"/>
    <w:rsid w:val="006314FD"/>
    <w:rsid w:val="0063164C"/>
    <w:rsid w:val="0063193D"/>
    <w:rsid w:val="0063211D"/>
    <w:rsid w:val="0063221A"/>
    <w:rsid w:val="00632265"/>
    <w:rsid w:val="0063319F"/>
    <w:rsid w:val="0063359F"/>
    <w:rsid w:val="00633752"/>
    <w:rsid w:val="00633C11"/>
    <w:rsid w:val="00633EB5"/>
    <w:rsid w:val="00635BD9"/>
    <w:rsid w:val="00637350"/>
    <w:rsid w:val="006373A8"/>
    <w:rsid w:val="00637740"/>
    <w:rsid w:val="00637C68"/>
    <w:rsid w:val="00640682"/>
    <w:rsid w:val="00640BF9"/>
    <w:rsid w:val="0064107E"/>
    <w:rsid w:val="00641A11"/>
    <w:rsid w:val="006426B1"/>
    <w:rsid w:val="006428B2"/>
    <w:rsid w:val="00642BEB"/>
    <w:rsid w:val="006430D8"/>
    <w:rsid w:val="00644D68"/>
    <w:rsid w:val="00644EFD"/>
    <w:rsid w:val="0064590C"/>
    <w:rsid w:val="006468C6"/>
    <w:rsid w:val="00647644"/>
    <w:rsid w:val="0065033D"/>
    <w:rsid w:val="00651636"/>
    <w:rsid w:val="00651C70"/>
    <w:rsid w:val="00651CF2"/>
    <w:rsid w:val="0065391E"/>
    <w:rsid w:val="00653E48"/>
    <w:rsid w:val="0065505E"/>
    <w:rsid w:val="00655200"/>
    <w:rsid w:val="00655549"/>
    <w:rsid w:val="00655E29"/>
    <w:rsid w:val="00655FD7"/>
    <w:rsid w:val="006564C1"/>
    <w:rsid w:val="00656677"/>
    <w:rsid w:val="00656865"/>
    <w:rsid w:val="00656A4B"/>
    <w:rsid w:val="00656FFF"/>
    <w:rsid w:val="00657ACD"/>
    <w:rsid w:val="00660588"/>
    <w:rsid w:val="006618CA"/>
    <w:rsid w:val="00661CEE"/>
    <w:rsid w:val="00662434"/>
    <w:rsid w:val="0066257C"/>
    <w:rsid w:val="0066279B"/>
    <w:rsid w:val="00662BBE"/>
    <w:rsid w:val="006638EF"/>
    <w:rsid w:val="006641CF"/>
    <w:rsid w:val="00664824"/>
    <w:rsid w:val="0066502D"/>
    <w:rsid w:val="0066553D"/>
    <w:rsid w:val="0066613D"/>
    <w:rsid w:val="00667527"/>
    <w:rsid w:val="00667F9B"/>
    <w:rsid w:val="00670074"/>
    <w:rsid w:val="00670F14"/>
    <w:rsid w:val="00671BD3"/>
    <w:rsid w:val="00672117"/>
    <w:rsid w:val="0067263B"/>
    <w:rsid w:val="00672E71"/>
    <w:rsid w:val="00672FAC"/>
    <w:rsid w:val="006730F3"/>
    <w:rsid w:val="00673430"/>
    <w:rsid w:val="006760E9"/>
    <w:rsid w:val="00677574"/>
    <w:rsid w:val="00677841"/>
    <w:rsid w:val="00680563"/>
    <w:rsid w:val="006807B9"/>
    <w:rsid w:val="006812C6"/>
    <w:rsid w:val="0068150F"/>
    <w:rsid w:val="00681C3D"/>
    <w:rsid w:val="00681E2A"/>
    <w:rsid w:val="00681F1C"/>
    <w:rsid w:val="006826CE"/>
    <w:rsid w:val="00682C84"/>
    <w:rsid w:val="006838CB"/>
    <w:rsid w:val="00684141"/>
    <w:rsid w:val="00685551"/>
    <w:rsid w:val="0068585F"/>
    <w:rsid w:val="00686D5E"/>
    <w:rsid w:val="006876CF"/>
    <w:rsid w:val="006877CE"/>
    <w:rsid w:val="006878D5"/>
    <w:rsid w:val="00687967"/>
    <w:rsid w:val="00690002"/>
    <w:rsid w:val="00690A93"/>
    <w:rsid w:val="00691058"/>
    <w:rsid w:val="00692042"/>
    <w:rsid w:val="00692A7C"/>
    <w:rsid w:val="00692D3D"/>
    <w:rsid w:val="00692D98"/>
    <w:rsid w:val="0069460C"/>
    <w:rsid w:val="006970D7"/>
    <w:rsid w:val="006979FB"/>
    <w:rsid w:val="006A130E"/>
    <w:rsid w:val="006A1528"/>
    <w:rsid w:val="006A1AAF"/>
    <w:rsid w:val="006A1AED"/>
    <w:rsid w:val="006A1AF4"/>
    <w:rsid w:val="006A1BE9"/>
    <w:rsid w:val="006A2DC7"/>
    <w:rsid w:val="006A33AC"/>
    <w:rsid w:val="006A4BD2"/>
    <w:rsid w:val="006A52AC"/>
    <w:rsid w:val="006A5BE0"/>
    <w:rsid w:val="006A67FA"/>
    <w:rsid w:val="006A6C79"/>
    <w:rsid w:val="006A77BB"/>
    <w:rsid w:val="006A7DBD"/>
    <w:rsid w:val="006B04C2"/>
    <w:rsid w:val="006B0C8B"/>
    <w:rsid w:val="006B1432"/>
    <w:rsid w:val="006B1B1E"/>
    <w:rsid w:val="006B2B35"/>
    <w:rsid w:val="006B2D0A"/>
    <w:rsid w:val="006B371E"/>
    <w:rsid w:val="006B3E4E"/>
    <w:rsid w:val="006B41E4"/>
    <w:rsid w:val="006B45AC"/>
    <w:rsid w:val="006B4602"/>
    <w:rsid w:val="006B5A55"/>
    <w:rsid w:val="006B6520"/>
    <w:rsid w:val="006C1E85"/>
    <w:rsid w:val="006C25DF"/>
    <w:rsid w:val="006C27AF"/>
    <w:rsid w:val="006C2C53"/>
    <w:rsid w:val="006C328C"/>
    <w:rsid w:val="006C4569"/>
    <w:rsid w:val="006C4A71"/>
    <w:rsid w:val="006C4FBC"/>
    <w:rsid w:val="006C6534"/>
    <w:rsid w:val="006C6944"/>
    <w:rsid w:val="006C6E9F"/>
    <w:rsid w:val="006D024B"/>
    <w:rsid w:val="006D0E64"/>
    <w:rsid w:val="006D1A20"/>
    <w:rsid w:val="006D1D1B"/>
    <w:rsid w:val="006D1DE2"/>
    <w:rsid w:val="006D27EA"/>
    <w:rsid w:val="006D34D0"/>
    <w:rsid w:val="006D3B55"/>
    <w:rsid w:val="006D3F1B"/>
    <w:rsid w:val="006D47BC"/>
    <w:rsid w:val="006D4AA0"/>
    <w:rsid w:val="006D4E59"/>
    <w:rsid w:val="006D4ED6"/>
    <w:rsid w:val="006D5113"/>
    <w:rsid w:val="006D5453"/>
    <w:rsid w:val="006D5C7E"/>
    <w:rsid w:val="006D657E"/>
    <w:rsid w:val="006D7043"/>
    <w:rsid w:val="006D733F"/>
    <w:rsid w:val="006D76E8"/>
    <w:rsid w:val="006E0E75"/>
    <w:rsid w:val="006E1154"/>
    <w:rsid w:val="006E188E"/>
    <w:rsid w:val="006E1DD6"/>
    <w:rsid w:val="006E216A"/>
    <w:rsid w:val="006E2F09"/>
    <w:rsid w:val="006E37B5"/>
    <w:rsid w:val="006E3CC6"/>
    <w:rsid w:val="006E3D9B"/>
    <w:rsid w:val="006E3ED5"/>
    <w:rsid w:val="006E41BF"/>
    <w:rsid w:val="006E47EC"/>
    <w:rsid w:val="006E4F37"/>
    <w:rsid w:val="006E57D8"/>
    <w:rsid w:val="006E63B2"/>
    <w:rsid w:val="006E6606"/>
    <w:rsid w:val="006E72A0"/>
    <w:rsid w:val="006E7894"/>
    <w:rsid w:val="006E7ABC"/>
    <w:rsid w:val="006F048D"/>
    <w:rsid w:val="006F04BF"/>
    <w:rsid w:val="006F07AA"/>
    <w:rsid w:val="006F1095"/>
    <w:rsid w:val="006F1EC5"/>
    <w:rsid w:val="006F2119"/>
    <w:rsid w:val="006F22F5"/>
    <w:rsid w:val="006F283C"/>
    <w:rsid w:val="006F33C7"/>
    <w:rsid w:val="006F4578"/>
    <w:rsid w:val="006F4AC1"/>
    <w:rsid w:val="006F4B6F"/>
    <w:rsid w:val="006F4C4F"/>
    <w:rsid w:val="006F4E42"/>
    <w:rsid w:val="006F553E"/>
    <w:rsid w:val="006F6942"/>
    <w:rsid w:val="006F7004"/>
    <w:rsid w:val="006F708A"/>
    <w:rsid w:val="006F7094"/>
    <w:rsid w:val="006F7775"/>
    <w:rsid w:val="00700A3C"/>
    <w:rsid w:val="00701264"/>
    <w:rsid w:val="007013A9"/>
    <w:rsid w:val="0070152B"/>
    <w:rsid w:val="00701A20"/>
    <w:rsid w:val="00702178"/>
    <w:rsid w:val="007024B9"/>
    <w:rsid w:val="007029CA"/>
    <w:rsid w:val="007032D3"/>
    <w:rsid w:val="007033E0"/>
    <w:rsid w:val="00703789"/>
    <w:rsid w:val="007039B9"/>
    <w:rsid w:val="007039DC"/>
    <w:rsid w:val="00704EFD"/>
    <w:rsid w:val="00705C2B"/>
    <w:rsid w:val="00705E13"/>
    <w:rsid w:val="007063C0"/>
    <w:rsid w:val="007065F3"/>
    <w:rsid w:val="00707174"/>
    <w:rsid w:val="00707190"/>
    <w:rsid w:val="007078AB"/>
    <w:rsid w:val="00710049"/>
    <w:rsid w:val="00712F93"/>
    <w:rsid w:val="0071340C"/>
    <w:rsid w:val="007148C6"/>
    <w:rsid w:val="00714B68"/>
    <w:rsid w:val="00715281"/>
    <w:rsid w:val="007157FB"/>
    <w:rsid w:val="0071611F"/>
    <w:rsid w:val="007167B0"/>
    <w:rsid w:val="00717965"/>
    <w:rsid w:val="007208BB"/>
    <w:rsid w:val="00720E0F"/>
    <w:rsid w:val="0072124C"/>
    <w:rsid w:val="007213ED"/>
    <w:rsid w:val="0072257C"/>
    <w:rsid w:val="0072277A"/>
    <w:rsid w:val="00723431"/>
    <w:rsid w:val="00724C99"/>
    <w:rsid w:val="007259BC"/>
    <w:rsid w:val="0072632E"/>
    <w:rsid w:val="007268F0"/>
    <w:rsid w:val="00726F35"/>
    <w:rsid w:val="00727BA5"/>
    <w:rsid w:val="0073096D"/>
    <w:rsid w:val="00730B7D"/>
    <w:rsid w:val="00730FB1"/>
    <w:rsid w:val="00731BD9"/>
    <w:rsid w:val="00731DAD"/>
    <w:rsid w:val="00733330"/>
    <w:rsid w:val="007336E1"/>
    <w:rsid w:val="00733AC0"/>
    <w:rsid w:val="00733BC8"/>
    <w:rsid w:val="00734292"/>
    <w:rsid w:val="007346B3"/>
    <w:rsid w:val="0073569A"/>
    <w:rsid w:val="007357E9"/>
    <w:rsid w:val="00735D35"/>
    <w:rsid w:val="0073609F"/>
    <w:rsid w:val="0073650E"/>
    <w:rsid w:val="00736B28"/>
    <w:rsid w:val="00737046"/>
    <w:rsid w:val="007378C8"/>
    <w:rsid w:val="00737B63"/>
    <w:rsid w:val="00737D3F"/>
    <w:rsid w:val="00737D5D"/>
    <w:rsid w:val="00737FBA"/>
    <w:rsid w:val="007408E4"/>
    <w:rsid w:val="0074187A"/>
    <w:rsid w:val="00741888"/>
    <w:rsid w:val="00741A12"/>
    <w:rsid w:val="0074207F"/>
    <w:rsid w:val="00742D58"/>
    <w:rsid w:val="007430E8"/>
    <w:rsid w:val="007446B1"/>
    <w:rsid w:val="00744CB0"/>
    <w:rsid w:val="0074542D"/>
    <w:rsid w:val="007459A2"/>
    <w:rsid w:val="0074609E"/>
    <w:rsid w:val="00746231"/>
    <w:rsid w:val="007462AE"/>
    <w:rsid w:val="00746421"/>
    <w:rsid w:val="00747328"/>
    <w:rsid w:val="00747598"/>
    <w:rsid w:val="00747D77"/>
    <w:rsid w:val="007505EC"/>
    <w:rsid w:val="00750637"/>
    <w:rsid w:val="00750C94"/>
    <w:rsid w:val="00750E0E"/>
    <w:rsid w:val="00752046"/>
    <w:rsid w:val="00752D82"/>
    <w:rsid w:val="00754280"/>
    <w:rsid w:val="00754441"/>
    <w:rsid w:val="00754A2A"/>
    <w:rsid w:val="007550F4"/>
    <w:rsid w:val="0075549F"/>
    <w:rsid w:val="0075568A"/>
    <w:rsid w:val="007557CF"/>
    <w:rsid w:val="007558AB"/>
    <w:rsid w:val="0075674E"/>
    <w:rsid w:val="00757270"/>
    <w:rsid w:val="007578E9"/>
    <w:rsid w:val="00760CCF"/>
    <w:rsid w:val="00760D4A"/>
    <w:rsid w:val="00761B40"/>
    <w:rsid w:val="00762AB7"/>
    <w:rsid w:val="007647E9"/>
    <w:rsid w:val="00765303"/>
    <w:rsid w:val="00766824"/>
    <w:rsid w:val="00770516"/>
    <w:rsid w:val="007709C5"/>
    <w:rsid w:val="00770AD1"/>
    <w:rsid w:val="00770E29"/>
    <w:rsid w:val="007712B6"/>
    <w:rsid w:val="007716C0"/>
    <w:rsid w:val="00771A1B"/>
    <w:rsid w:val="00772569"/>
    <w:rsid w:val="007730F3"/>
    <w:rsid w:val="0077332A"/>
    <w:rsid w:val="00773D4D"/>
    <w:rsid w:val="00774239"/>
    <w:rsid w:val="00774584"/>
    <w:rsid w:val="00774772"/>
    <w:rsid w:val="00775062"/>
    <w:rsid w:val="00776459"/>
    <w:rsid w:val="007766FA"/>
    <w:rsid w:val="007772ED"/>
    <w:rsid w:val="00777314"/>
    <w:rsid w:val="007776A4"/>
    <w:rsid w:val="007778B9"/>
    <w:rsid w:val="00777F05"/>
    <w:rsid w:val="0078012A"/>
    <w:rsid w:val="00783159"/>
    <w:rsid w:val="00783352"/>
    <w:rsid w:val="00783DFB"/>
    <w:rsid w:val="00783F0A"/>
    <w:rsid w:val="00785B45"/>
    <w:rsid w:val="00786A89"/>
    <w:rsid w:val="00786A8E"/>
    <w:rsid w:val="00786A96"/>
    <w:rsid w:val="00786B8A"/>
    <w:rsid w:val="00787BFA"/>
    <w:rsid w:val="00791BAC"/>
    <w:rsid w:val="00792D9D"/>
    <w:rsid w:val="007938F0"/>
    <w:rsid w:val="007939DB"/>
    <w:rsid w:val="00794156"/>
    <w:rsid w:val="00794468"/>
    <w:rsid w:val="00795714"/>
    <w:rsid w:val="007969BD"/>
    <w:rsid w:val="007972DB"/>
    <w:rsid w:val="007977C2"/>
    <w:rsid w:val="007977E1"/>
    <w:rsid w:val="00797D7B"/>
    <w:rsid w:val="007A0093"/>
    <w:rsid w:val="007A0ED5"/>
    <w:rsid w:val="007A1611"/>
    <w:rsid w:val="007A2753"/>
    <w:rsid w:val="007A277B"/>
    <w:rsid w:val="007A3111"/>
    <w:rsid w:val="007A35F7"/>
    <w:rsid w:val="007A4AED"/>
    <w:rsid w:val="007A4D68"/>
    <w:rsid w:val="007A5181"/>
    <w:rsid w:val="007A5F42"/>
    <w:rsid w:val="007A6CFD"/>
    <w:rsid w:val="007B0D65"/>
    <w:rsid w:val="007B11A8"/>
    <w:rsid w:val="007B14FA"/>
    <w:rsid w:val="007B333E"/>
    <w:rsid w:val="007B363C"/>
    <w:rsid w:val="007B36B5"/>
    <w:rsid w:val="007B57B7"/>
    <w:rsid w:val="007B5A89"/>
    <w:rsid w:val="007B5FCA"/>
    <w:rsid w:val="007B6D3E"/>
    <w:rsid w:val="007B7DCE"/>
    <w:rsid w:val="007C101F"/>
    <w:rsid w:val="007C1168"/>
    <w:rsid w:val="007C1632"/>
    <w:rsid w:val="007C1BD2"/>
    <w:rsid w:val="007C1F80"/>
    <w:rsid w:val="007C2613"/>
    <w:rsid w:val="007C3244"/>
    <w:rsid w:val="007C38B8"/>
    <w:rsid w:val="007C3A4B"/>
    <w:rsid w:val="007C44CC"/>
    <w:rsid w:val="007C4A71"/>
    <w:rsid w:val="007C6354"/>
    <w:rsid w:val="007C66A2"/>
    <w:rsid w:val="007C70BC"/>
    <w:rsid w:val="007C740B"/>
    <w:rsid w:val="007D052B"/>
    <w:rsid w:val="007D0F17"/>
    <w:rsid w:val="007D2737"/>
    <w:rsid w:val="007D289F"/>
    <w:rsid w:val="007D2B1F"/>
    <w:rsid w:val="007D3F16"/>
    <w:rsid w:val="007D404B"/>
    <w:rsid w:val="007D4F98"/>
    <w:rsid w:val="007D52CA"/>
    <w:rsid w:val="007D535F"/>
    <w:rsid w:val="007D6C11"/>
    <w:rsid w:val="007D7C98"/>
    <w:rsid w:val="007E112E"/>
    <w:rsid w:val="007E2622"/>
    <w:rsid w:val="007E2668"/>
    <w:rsid w:val="007E2D01"/>
    <w:rsid w:val="007E2E7E"/>
    <w:rsid w:val="007E339B"/>
    <w:rsid w:val="007E3671"/>
    <w:rsid w:val="007E4851"/>
    <w:rsid w:val="007E4B2C"/>
    <w:rsid w:val="007E549A"/>
    <w:rsid w:val="007E59C8"/>
    <w:rsid w:val="007F0349"/>
    <w:rsid w:val="007F0DA3"/>
    <w:rsid w:val="007F153F"/>
    <w:rsid w:val="007F1CA7"/>
    <w:rsid w:val="007F1EB0"/>
    <w:rsid w:val="007F2181"/>
    <w:rsid w:val="007F2522"/>
    <w:rsid w:val="007F2AF0"/>
    <w:rsid w:val="007F348C"/>
    <w:rsid w:val="007F352A"/>
    <w:rsid w:val="007F3B87"/>
    <w:rsid w:val="007F3E0F"/>
    <w:rsid w:val="007F4E1D"/>
    <w:rsid w:val="007F510C"/>
    <w:rsid w:val="007F559B"/>
    <w:rsid w:val="007F573D"/>
    <w:rsid w:val="007F5C4B"/>
    <w:rsid w:val="007F683F"/>
    <w:rsid w:val="007F754B"/>
    <w:rsid w:val="007F7B07"/>
    <w:rsid w:val="00800212"/>
    <w:rsid w:val="008007AE"/>
    <w:rsid w:val="00800CE6"/>
    <w:rsid w:val="00800F98"/>
    <w:rsid w:val="00801AC8"/>
    <w:rsid w:val="00801D6C"/>
    <w:rsid w:val="00801E4B"/>
    <w:rsid w:val="00802558"/>
    <w:rsid w:val="0080255B"/>
    <w:rsid w:val="00802B24"/>
    <w:rsid w:val="0080304C"/>
    <w:rsid w:val="0080364C"/>
    <w:rsid w:val="008042A9"/>
    <w:rsid w:val="0080532A"/>
    <w:rsid w:val="008058E9"/>
    <w:rsid w:val="008064A4"/>
    <w:rsid w:val="00806E73"/>
    <w:rsid w:val="00807185"/>
    <w:rsid w:val="0080792F"/>
    <w:rsid w:val="00810780"/>
    <w:rsid w:val="00811544"/>
    <w:rsid w:val="00811BE3"/>
    <w:rsid w:val="00812011"/>
    <w:rsid w:val="008130F2"/>
    <w:rsid w:val="00813382"/>
    <w:rsid w:val="008139D7"/>
    <w:rsid w:val="0081402C"/>
    <w:rsid w:val="00814075"/>
    <w:rsid w:val="008142A8"/>
    <w:rsid w:val="00814387"/>
    <w:rsid w:val="008149E5"/>
    <w:rsid w:val="00814A12"/>
    <w:rsid w:val="00814B1D"/>
    <w:rsid w:val="00814DC6"/>
    <w:rsid w:val="00815DDB"/>
    <w:rsid w:val="0081691B"/>
    <w:rsid w:val="00816E52"/>
    <w:rsid w:val="0081762F"/>
    <w:rsid w:val="008176DF"/>
    <w:rsid w:val="00817800"/>
    <w:rsid w:val="0081793F"/>
    <w:rsid w:val="00820B19"/>
    <w:rsid w:val="00820F9E"/>
    <w:rsid w:val="00821222"/>
    <w:rsid w:val="00821507"/>
    <w:rsid w:val="0082208F"/>
    <w:rsid w:val="0082259A"/>
    <w:rsid w:val="0082375A"/>
    <w:rsid w:val="00823953"/>
    <w:rsid w:val="008243A8"/>
    <w:rsid w:val="008255CA"/>
    <w:rsid w:val="00825703"/>
    <w:rsid w:val="008259E9"/>
    <w:rsid w:val="008264DF"/>
    <w:rsid w:val="008265C2"/>
    <w:rsid w:val="008267C0"/>
    <w:rsid w:val="008267F4"/>
    <w:rsid w:val="00826E97"/>
    <w:rsid w:val="00827124"/>
    <w:rsid w:val="00827852"/>
    <w:rsid w:val="008313C2"/>
    <w:rsid w:val="00831AE7"/>
    <w:rsid w:val="00832043"/>
    <w:rsid w:val="00832342"/>
    <w:rsid w:val="00832745"/>
    <w:rsid w:val="00832F8C"/>
    <w:rsid w:val="008331B9"/>
    <w:rsid w:val="00833BAE"/>
    <w:rsid w:val="00833DD5"/>
    <w:rsid w:val="00834F38"/>
    <w:rsid w:val="008361CA"/>
    <w:rsid w:val="00836A2F"/>
    <w:rsid w:val="008405B8"/>
    <w:rsid w:val="00840643"/>
    <w:rsid w:val="00842727"/>
    <w:rsid w:val="00842F5E"/>
    <w:rsid w:val="00844C09"/>
    <w:rsid w:val="00845055"/>
    <w:rsid w:val="0084552C"/>
    <w:rsid w:val="00845EB0"/>
    <w:rsid w:val="008462A7"/>
    <w:rsid w:val="008464AE"/>
    <w:rsid w:val="00846B56"/>
    <w:rsid w:val="008474A1"/>
    <w:rsid w:val="0084786B"/>
    <w:rsid w:val="00847C1C"/>
    <w:rsid w:val="00847CCA"/>
    <w:rsid w:val="00850287"/>
    <w:rsid w:val="00850413"/>
    <w:rsid w:val="00850B33"/>
    <w:rsid w:val="00850CF5"/>
    <w:rsid w:val="008510E8"/>
    <w:rsid w:val="008511B1"/>
    <w:rsid w:val="0085216D"/>
    <w:rsid w:val="00852C61"/>
    <w:rsid w:val="00852C9B"/>
    <w:rsid w:val="00853202"/>
    <w:rsid w:val="00853A99"/>
    <w:rsid w:val="00853DB5"/>
    <w:rsid w:val="00855084"/>
    <w:rsid w:val="00856659"/>
    <w:rsid w:val="00857147"/>
    <w:rsid w:val="008576CB"/>
    <w:rsid w:val="00860331"/>
    <w:rsid w:val="00861DC6"/>
    <w:rsid w:val="00862F6D"/>
    <w:rsid w:val="008637B0"/>
    <w:rsid w:val="00863F0F"/>
    <w:rsid w:val="00864A65"/>
    <w:rsid w:val="00864DB4"/>
    <w:rsid w:val="008650FB"/>
    <w:rsid w:val="00866669"/>
    <w:rsid w:val="00866676"/>
    <w:rsid w:val="008667F7"/>
    <w:rsid w:val="008675D8"/>
    <w:rsid w:val="008705CA"/>
    <w:rsid w:val="00870EF1"/>
    <w:rsid w:val="0087117A"/>
    <w:rsid w:val="00871DD9"/>
    <w:rsid w:val="00871FFE"/>
    <w:rsid w:val="0087225A"/>
    <w:rsid w:val="00872FDA"/>
    <w:rsid w:val="008733E7"/>
    <w:rsid w:val="008762F8"/>
    <w:rsid w:val="00876603"/>
    <w:rsid w:val="008769F0"/>
    <w:rsid w:val="00876AD4"/>
    <w:rsid w:val="0087764A"/>
    <w:rsid w:val="00877C72"/>
    <w:rsid w:val="008802FD"/>
    <w:rsid w:val="00881D75"/>
    <w:rsid w:val="00882099"/>
    <w:rsid w:val="00884484"/>
    <w:rsid w:val="00884B41"/>
    <w:rsid w:val="00885099"/>
    <w:rsid w:val="0088516B"/>
    <w:rsid w:val="00885AB4"/>
    <w:rsid w:val="0088691E"/>
    <w:rsid w:val="00887BFC"/>
    <w:rsid w:val="0089087B"/>
    <w:rsid w:val="00890F0E"/>
    <w:rsid w:val="00890F71"/>
    <w:rsid w:val="008913A9"/>
    <w:rsid w:val="00891988"/>
    <w:rsid w:val="0089225A"/>
    <w:rsid w:val="008926AC"/>
    <w:rsid w:val="00892736"/>
    <w:rsid w:val="00892B09"/>
    <w:rsid w:val="00892D05"/>
    <w:rsid w:val="00894C2F"/>
    <w:rsid w:val="00895163"/>
    <w:rsid w:val="008952A4"/>
    <w:rsid w:val="0089606B"/>
    <w:rsid w:val="00897AF5"/>
    <w:rsid w:val="008A027D"/>
    <w:rsid w:val="008A054B"/>
    <w:rsid w:val="008A31E6"/>
    <w:rsid w:val="008A36E6"/>
    <w:rsid w:val="008A37E4"/>
    <w:rsid w:val="008A3FAD"/>
    <w:rsid w:val="008A5033"/>
    <w:rsid w:val="008A5642"/>
    <w:rsid w:val="008A77C0"/>
    <w:rsid w:val="008B099E"/>
    <w:rsid w:val="008B0AC2"/>
    <w:rsid w:val="008B0CF5"/>
    <w:rsid w:val="008B1431"/>
    <w:rsid w:val="008B1436"/>
    <w:rsid w:val="008B2B78"/>
    <w:rsid w:val="008B4006"/>
    <w:rsid w:val="008B46FF"/>
    <w:rsid w:val="008B54F6"/>
    <w:rsid w:val="008B575B"/>
    <w:rsid w:val="008B5D5C"/>
    <w:rsid w:val="008B6050"/>
    <w:rsid w:val="008B61A4"/>
    <w:rsid w:val="008B6C20"/>
    <w:rsid w:val="008B6FC7"/>
    <w:rsid w:val="008B7D83"/>
    <w:rsid w:val="008C0536"/>
    <w:rsid w:val="008C1DBB"/>
    <w:rsid w:val="008C248C"/>
    <w:rsid w:val="008C26EA"/>
    <w:rsid w:val="008C2AFC"/>
    <w:rsid w:val="008C2B84"/>
    <w:rsid w:val="008C313D"/>
    <w:rsid w:val="008C3151"/>
    <w:rsid w:val="008C3350"/>
    <w:rsid w:val="008C35B0"/>
    <w:rsid w:val="008C3ED4"/>
    <w:rsid w:val="008C4B99"/>
    <w:rsid w:val="008C4C3A"/>
    <w:rsid w:val="008C56E6"/>
    <w:rsid w:val="008C67DD"/>
    <w:rsid w:val="008C715E"/>
    <w:rsid w:val="008C7396"/>
    <w:rsid w:val="008D0962"/>
    <w:rsid w:val="008D1401"/>
    <w:rsid w:val="008D2318"/>
    <w:rsid w:val="008D26CF"/>
    <w:rsid w:val="008D369F"/>
    <w:rsid w:val="008D3B59"/>
    <w:rsid w:val="008D4667"/>
    <w:rsid w:val="008D7525"/>
    <w:rsid w:val="008E0CFB"/>
    <w:rsid w:val="008E2199"/>
    <w:rsid w:val="008E265A"/>
    <w:rsid w:val="008E2783"/>
    <w:rsid w:val="008E2AD6"/>
    <w:rsid w:val="008E4567"/>
    <w:rsid w:val="008E4E77"/>
    <w:rsid w:val="008E677F"/>
    <w:rsid w:val="008E7AD2"/>
    <w:rsid w:val="008F0F82"/>
    <w:rsid w:val="008F1C14"/>
    <w:rsid w:val="008F2DD0"/>
    <w:rsid w:val="008F3162"/>
    <w:rsid w:val="008F4A5E"/>
    <w:rsid w:val="008F58DA"/>
    <w:rsid w:val="008F5FF6"/>
    <w:rsid w:val="009009AB"/>
    <w:rsid w:val="00900D06"/>
    <w:rsid w:val="009019E8"/>
    <w:rsid w:val="00901C33"/>
    <w:rsid w:val="00901E33"/>
    <w:rsid w:val="0090287F"/>
    <w:rsid w:val="009055E2"/>
    <w:rsid w:val="00905DDA"/>
    <w:rsid w:val="00906A1F"/>
    <w:rsid w:val="00906A99"/>
    <w:rsid w:val="00906C3E"/>
    <w:rsid w:val="00906CCC"/>
    <w:rsid w:val="009101A6"/>
    <w:rsid w:val="00910D19"/>
    <w:rsid w:val="00910D8A"/>
    <w:rsid w:val="009115CA"/>
    <w:rsid w:val="00911B96"/>
    <w:rsid w:val="009131D5"/>
    <w:rsid w:val="00913902"/>
    <w:rsid w:val="009141CB"/>
    <w:rsid w:val="00914675"/>
    <w:rsid w:val="0091496E"/>
    <w:rsid w:val="009155A3"/>
    <w:rsid w:val="00915B98"/>
    <w:rsid w:val="009172C6"/>
    <w:rsid w:val="00917BF6"/>
    <w:rsid w:val="00917D26"/>
    <w:rsid w:val="00917F64"/>
    <w:rsid w:val="009201DB"/>
    <w:rsid w:val="00920499"/>
    <w:rsid w:val="009216A7"/>
    <w:rsid w:val="00921D80"/>
    <w:rsid w:val="00921F3D"/>
    <w:rsid w:val="0092273B"/>
    <w:rsid w:val="00922773"/>
    <w:rsid w:val="009233EB"/>
    <w:rsid w:val="00924497"/>
    <w:rsid w:val="00924607"/>
    <w:rsid w:val="00924EEF"/>
    <w:rsid w:val="00926880"/>
    <w:rsid w:val="00926D2A"/>
    <w:rsid w:val="00926F79"/>
    <w:rsid w:val="0093048E"/>
    <w:rsid w:val="00931AAC"/>
    <w:rsid w:val="00932200"/>
    <w:rsid w:val="00932609"/>
    <w:rsid w:val="0093284D"/>
    <w:rsid w:val="009329C8"/>
    <w:rsid w:val="00932C66"/>
    <w:rsid w:val="009332E1"/>
    <w:rsid w:val="0093352D"/>
    <w:rsid w:val="0093362A"/>
    <w:rsid w:val="0093406E"/>
    <w:rsid w:val="00934221"/>
    <w:rsid w:val="009343FA"/>
    <w:rsid w:val="00934A8B"/>
    <w:rsid w:val="0093517F"/>
    <w:rsid w:val="009353C0"/>
    <w:rsid w:val="0093599E"/>
    <w:rsid w:val="00936306"/>
    <w:rsid w:val="00937874"/>
    <w:rsid w:val="00937AD3"/>
    <w:rsid w:val="00937B93"/>
    <w:rsid w:val="009403D9"/>
    <w:rsid w:val="00941226"/>
    <w:rsid w:val="00941E59"/>
    <w:rsid w:val="00943142"/>
    <w:rsid w:val="00944402"/>
    <w:rsid w:val="00944ABE"/>
    <w:rsid w:val="00944BEA"/>
    <w:rsid w:val="00945F5A"/>
    <w:rsid w:val="0094633D"/>
    <w:rsid w:val="0094684C"/>
    <w:rsid w:val="009476A2"/>
    <w:rsid w:val="00947973"/>
    <w:rsid w:val="00951B2D"/>
    <w:rsid w:val="009525A0"/>
    <w:rsid w:val="009527D2"/>
    <w:rsid w:val="0095394B"/>
    <w:rsid w:val="00953A19"/>
    <w:rsid w:val="0095445E"/>
    <w:rsid w:val="00954D9E"/>
    <w:rsid w:val="00954F16"/>
    <w:rsid w:val="0095573F"/>
    <w:rsid w:val="0095611E"/>
    <w:rsid w:val="00956390"/>
    <w:rsid w:val="00956CB0"/>
    <w:rsid w:val="00956F20"/>
    <w:rsid w:val="00957093"/>
    <w:rsid w:val="009606AA"/>
    <w:rsid w:val="009609EF"/>
    <w:rsid w:val="009613B1"/>
    <w:rsid w:val="00961908"/>
    <w:rsid w:val="00962256"/>
    <w:rsid w:val="009622FB"/>
    <w:rsid w:val="009628CE"/>
    <w:rsid w:val="00962B0B"/>
    <w:rsid w:val="00962CA9"/>
    <w:rsid w:val="00963370"/>
    <w:rsid w:val="0096346D"/>
    <w:rsid w:val="009639FD"/>
    <w:rsid w:val="00963CFA"/>
    <w:rsid w:val="00963EB1"/>
    <w:rsid w:val="009651F5"/>
    <w:rsid w:val="0096532E"/>
    <w:rsid w:val="00965769"/>
    <w:rsid w:val="0096581C"/>
    <w:rsid w:val="0096582B"/>
    <w:rsid w:val="0096606A"/>
    <w:rsid w:val="00967188"/>
    <w:rsid w:val="0097001C"/>
    <w:rsid w:val="00970FA3"/>
    <w:rsid w:val="00971822"/>
    <w:rsid w:val="00971E6B"/>
    <w:rsid w:val="009729F5"/>
    <w:rsid w:val="00972ADB"/>
    <w:rsid w:val="00972C70"/>
    <w:rsid w:val="009734F9"/>
    <w:rsid w:val="00974515"/>
    <w:rsid w:val="009746BA"/>
    <w:rsid w:val="00974BE3"/>
    <w:rsid w:val="00974D1A"/>
    <w:rsid w:val="009755B1"/>
    <w:rsid w:val="0097695A"/>
    <w:rsid w:val="00976CBD"/>
    <w:rsid w:val="00977C61"/>
    <w:rsid w:val="00980821"/>
    <w:rsid w:val="00982636"/>
    <w:rsid w:val="009827CD"/>
    <w:rsid w:val="0098293C"/>
    <w:rsid w:val="00982F3C"/>
    <w:rsid w:val="00982FFF"/>
    <w:rsid w:val="00983099"/>
    <w:rsid w:val="00983312"/>
    <w:rsid w:val="00983B3B"/>
    <w:rsid w:val="00983CD4"/>
    <w:rsid w:val="00984730"/>
    <w:rsid w:val="00985441"/>
    <w:rsid w:val="00985CD5"/>
    <w:rsid w:val="00986052"/>
    <w:rsid w:val="00986707"/>
    <w:rsid w:val="00986C7E"/>
    <w:rsid w:val="00986CD7"/>
    <w:rsid w:val="00987EEC"/>
    <w:rsid w:val="00990BCF"/>
    <w:rsid w:val="0099123E"/>
    <w:rsid w:val="009920EE"/>
    <w:rsid w:val="0099210D"/>
    <w:rsid w:val="00992CFE"/>
    <w:rsid w:val="00993763"/>
    <w:rsid w:val="0099556A"/>
    <w:rsid w:val="00995818"/>
    <w:rsid w:val="0099636C"/>
    <w:rsid w:val="009972D9"/>
    <w:rsid w:val="009A0B6D"/>
    <w:rsid w:val="009A0D11"/>
    <w:rsid w:val="009A11FD"/>
    <w:rsid w:val="009A1639"/>
    <w:rsid w:val="009A2B04"/>
    <w:rsid w:val="009A2ED6"/>
    <w:rsid w:val="009A3A56"/>
    <w:rsid w:val="009A3C0E"/>
    <w:rsid w:val="009A3C2A"/>
    <w:rsid w:val="009A427E"/>
    <w:rsid w:val="009A47F7"/>
    <w:rsid w:val="009A5255"/>
    <w:rsid w:val="009A5596"/>
    <w:rsid w:val="009A61F3"/>
    <w:rsid w:val="009A6AF7"/>
    <w:rsid w:val="009A72AE"/>
    <w:rsid w:val="009A7366"/>
    <w:rsid w:val="009A7B74"/>
    <w:rsid w:val="009B0ED5"/>
    <w:rsid w:val="009B142A"/>
    <w:rsid w:val="009B14C8"/>
    <w:rsid w:val="009B1CB6"/>
    <w:rsid w:val="009B1D97"/>
    <w:rsid w:val="009B31BF"/>
    <w:rsid w:val="009B38F2"/>
    <w:rsid w:val="009B4277"/>
    <w:rsid w:val="009B4EFC"/>
    <w:rsid w:val="009B5303"/>
    <w:rsid w:val="009B5585"/>
    <w:rsid w:val="009B5833"/>
    <w:rsid w:val="009B59CA"/>
    <w:rsid w:val="009B5F47"/>
    <w:rsid w:val="009B67A7"/>
    <w:rsid w:val="009B7930"/>
    <w:rsid w:val="009C008C"/>
    <w:rsid w:val="009C0410"/>
    <w:rsid w:val="009C188C"/>
    <w:rsid w:val="009C1CA1"/>
    <w:rsid w:val="009C31A8"/>
    <w:rsid w:val="009C341B"/>
    <w:rsid w:val="009C3536"/>
    <w:rsid w:val="009C529E"/>
    <w:rsid w:val="009C5D0F"/>
    <w:rsid w:val="009C5F97"/>
    <w:rsid w:val="009C6C1D"/>
    <w:rsid w:val="009C6D0D"/>
    <w:rsid w:val="009C7820"/>
    <w:rsid w:val="009C795A"/>
    <w:rsid w:val="009D0FD5"/>
    <w:rsid w:val="009D11DD"/>
    <w:rsid w:val="009D1752"/>
    <w:rsid w:val="009D18F6"/>
    <w:rsid w:val="009D393D"/>
    <w:rsid w:val="009D467C"/>
    <w:rsid w:val="009D4CE4"/>
    <w:rsid w:val="009D4FA7"/>
    <w:rsid w:val="009D4FD9"/>
    <w:rsid w:val="009D51C1"/>
    <w:rsid w:val="009D57CE"/>
    <w:rsid w:val="009D5B36"/>
    <w:rsid w:val="009D7D7E"/>
    <w:rsid w:val="009E0413"/>
    <w:rsid w:val="009E06C3"/>
    <w:rsid w:val="009E08C3"/>
    <w:rsid w:val="009E10EA"/>
    <w:rsid w:val="009E14CA"/>
    <w:rsid w:val="009E2928"/>
    <w:rsid w:val="009E3321"/>
    <w:rsid w:val="009E33D8"/>
    <w:rsid w:val="009E3499"/>
    <w:rsid w:val="009E3987"/>
    <w:rsid w:val="009E3A31"/>
    <w:rsid w:val="009E3BA1"/>
    <w:rsid w:val="009E4426"/>
    <w:rsid w:val="009E45B0"/>
    <w:rsid w:val="009E57D9"/>
    <w:rsid w:val="009E5D80"/>
    <w:rsid w:val="009E5F97"/>
    <w:rsid w:val="009E611A"/>
    <w:rsid w:val="009E6437"/>
    <w:rsid w:val="009E6FA0"/>
    <w:rsid w:val="009E7C19"/>
    <w:rsid w:val="009F339B"/>
    <w:rsid w:val="009F39C2"/>
    <w:rsid w:val="009F3DAD"/>
    <w:rsid w:val="009F5239"/>
    <w:rsid w:val="009F54F1"/>
    <w:rsid w:val="009F5A93"/>
    <w:rsid w:val="009F65B5"/>
    <w:rsid w:val="009F6646"/>
    <w:rsid w:val="00A00579"/>
    <w:rsid w:val="00A013AC"/>
    <w:rsid w:val="00A0144A"/>
    <w:rsid w:val="00A019CB"/>
    <w:rsid w:val="00A02741"/>
    <w:rsid w:val="00A032D3"/>
    <w:rsid w:val="00A0388E"/>
    <w:rsid w:val="00A03933"/>
    <w:rsid w:val="00A03F2E"/>
    <w:rsid w:val="00A04212"/>
    <w:rsid w:val="00A0441B"/>
    <w:rsid w:val="00A04782"/>
    <w:rsid w:val="00A059F3"/>
    <w:rsid w:val="00A06276"/>
    <w:rsid w:val="00A064C8"/>
    <w:rsid w:val="00A06A8F"/>
    <w:rsid w:val="00A07059"/>
    <w:rsid w:val="00A07EBB"/>
    <w:rsid w:val="00A1036B"/>
    <w:rsid w:val="00A109E7"/>
    <w:rsid w:val="00A1122E"/>
    <w:rsid w:val="00A13897"/>
    <w:rsid w:val="00A1413C"/>
    <w:rsid w:val="00A14238"/>
    <w:rsid w:val="00A148FA"/>
    <w:rsid w:val="00A159F9"/>
    <w:rsid w:val="00A15B11"/>
    <w:rsid w:val="00A15B70"/>
    <w:rsid w:val="00A1667C"/>
    <w:rsid w:val="00A177B6"/>
    <w:rsid w:val="00A209FE"/>
    <w:rsid w:val="00A20CFE"/>
    <w:rsid w:val="00A20FEB"/>
    <w:rsid w:val="00A21153"/>
    <w:rsid w:val="00A21CB4"/>
    <w:rsid w:val="00A22F8A"/>
    <w:rsid w:val="00A23924"/>
    <w:rsid w:val="00A241D7"/>
    <w:rsid w:val="00A24397"/>
    <w:rsid w:val="00A2599B"/>
    <w:rsid w:val="00A2653D"/>
    <w:rsid w:val="00A26D86"/>
    <w:rsid w:val="00A270DE"/>
    <w:rsid w:val="00A2735F"/>
    <w:rsid w:val="00A274D3"/>
    <w:rsid w:val="00A27C1B"/>
    <w:rsid w:val="00A308CE"/>
    <w:rsid w:val="00A32324"/>
    <w:rsid w:val="00A32428"/>
    <w:rsid w:val="00A32D26"/>
    <w:rsid w:val="00A32FCB"/>
    <w:rsid w:val="00A33BFC"/>
    <w:rsid w:val="00A349D5"/>
    <w:rsid w:val="00A3511F"/>
    <w:rsid w:val="00A35446"/>
    <w:rsid w:val="00A355B4"/>
    <w:rsid w:val="00A37393"/>
    <w:rsid w:val="00A37E7C"/>
    <w:rsid w:val="00A40021"/>
    <w:rsid w:val="00A404BF"/>
    <w:rsid w:val="00A409A0"/>
    <w:rsid w:val="00A40E00"/>
    <w:rsid w:val="00A41A7C"/>
    <w:rsid w:val="00A428B5"/>
    <w:rsid w:val="00A43C27"/>
    <w:rsid w:val="00A441A3"/>
    <w:rsid w:val="00A46234"/>
    <w:rsid w:val="00A47630"/>
    <w:rsid w:val="00A476C9"/>
    <w:rsid w:val="00A50E70"/>
    <w:rsid w:val="00A50F60"/>
    <w:rsid w:val="00A51AA3"/>
    <w:rsid w:val="00A52766"/>
    <w:rsid w:val="00A52BDC"/>
    <w:rsid w:val="00A5509B"/>
    <w:rsid w:val="00A552D4"/>
    <w:rsid w:val="00A564BF"/>
    <w:rsid w:val="00A56CEE"/>
    <w:rsid w:val="00A578E3"/>
    <w:rsid w:val="00A602E8"/>
    <w:rsid w:val="00A60D8B"/>
    <w:rsid w:val="00A6104B"/>
    <w:rsid w:val="00A61786"/>
    <w:rsid w:val="00A61F22"/>
    <w:rsid w:val="00A64226"/>
    <w:rsid w:val="00A648ED"/>
    <w:rsid w:val="00A65585"/>
    <w:rsid w:val="00A65779"/>
    <w:rsid w:val="00A6590D"/>
    <w:rsid w:val="00A65C14"/>
    <w:rsid w:val="00A66188"/>
    <w:rsid w:val="00A672B6"/>
    <w:rsid w:val="00A6751D"/>
    <w:rsid w:val="00A6761F"/>
    <w:rsid w:val="00A705A7"/>
    <w:rsid w:val="00A70BAA"/>
    <w:rsid w:val="00A70C94"/>
    <w:rsid w:val="00A710A1"/>
    <w:rsid w:val="00A71F76"/>
    <w:rsid w:val="00A72A44"/>
    <w:rsid w:val="00A73868"/>
    <w:rsid w:val="00A73D65"/>
    <w:rsid w:val="00A7478B"/>
    <w:rsid w:val="00A7585C"/>
    <w:rsid w:val="00A758F5"/>
    <w:rsid w:val="00A75C4C"/>
    <w:rsid w:val="00A76085"/>
    <w:rsid w:val="00A76654"/>
    <w:rsid w:val="00A768EF"/>
    <w:rsid w:val="00A76A9A"/>
    <w:rsid w:val="00A76E1D"/>
    <w:rsid w:val="00A77001"/>
    <w:rsid w:val="00A77DD8"/>
    <w:rsid w:val="00A804B8"/>
    <w:rsid w:val="00A80D19"/>
    <w:rsid w:val="00A82691"/>
    <w:rsid w:val="00A829F0"/>
    <w:rsid w:val="00A833A6"/>
    <w:rsid w:val="00A83887"/>
    <w:rsid w:val="00A8403B"/>
    <w:rsid w:val="00A84BD9"/>
    <w:rsid w:val="00A85B63"/>
    <w:rsid w:val="00A865DD"/>
    <w:rsid w:val="00A86E4A"/>
    <w:rsid w:val="00A870D9"/>
    <w:rsid w:val="00A87A4E"/>
    <w:rsid w:val="00A87D00"/>
    <w:rsid w:val="00A87D52"/>
    <w:rsid w:val="00A87ECD"/>
    <w:rsid w:val="00A87F1D"/>
    <w:rsid w:val="00A905B3"/>
    <w:rsid w:val="00A905D1"/>
    <w:rsid w:val="00A90B4E"/>
    <w:rsid w:val="00A90D6D"/>
    <w:rsid w:val="00A913DB"/>
    <w:rsid w:val="00A91FBD"/>
    <w:rsid w:val="00A93545"/>
    <w:rsid w:val="00A93A67"/>
    <w:rsid w:val="00A9450A"/>
    <w:rsid w:val="00A94D57"/>
    <w:rsid w:val="00A95C62"/>
    <w:rsid w:val="00A96502"/>
    <w:rsid w:val="00A966E8"/>
    <w:rsid w:val="00A977DA"/>
    <w:rsid w:val="00A97C6B"/>
    <w:rsid w:val="00A97FB5"/>
    <w:rsid w:val="00AA00CE"/>
    <w:rsid w:val="00AA0F7D"/>
    <w:rsid w:val="00AA112D"/>
    <w:rsid w:val="00AA2E36"/>
    <w:rsid w:val="00AA35CD"/>
    <w:rsid w:val="00AA42A1"/>
    <w:rsid w:val="00AA43D4"/>
    <w:rsid w:val="00AA543A"/>
    <w:rsid w:val="00AA5642"/>
    <w:rsid w:val="00AA57A6"/>
    <w:rsid w:val="00AA5C1E"/>
    <w:rsid w:val="00AA60E4"/>
    <w:rsid w:val="00AA6137"/>
    <w:rsid w:val="00AA6585"/>
    <w:rsid w:val="00AA7512"/>
    <w:rsid w:val="00AB04C1"/>
    <w:rsid w:val="00AB09FE"/>
    <w:rsid w:val="00AB0E83"/>
    <w:rsid w:val="00AB12AF"/>
    <w:rsid w:val="00AB225B"/>
    <w:rsid w:val="00AB2565"/>
    <w:rsid w:val="00AB306C"/>
    <w:rsid w:val="00AB3381"/>
    <w:rsid w:val="00AB3C14"/>
    <w:rsid w:val="00AB4C67"/>
    <w:rsid w:val="00AB4D5A"/>
    <w:rsid w:val="00AB52B6"/>
    <w:rsid w:val="00AB5A73"/>
    <w:rsid w:val="00AB5B60"/>
    <w:rsid w:val="00AB5E3B"/>
    <w:rsid w:val="00AB6FC2"/>
    <w:rsid w:val="00AB7529"/>
    <w:rsid w:val="00AC0702"/>
    <w:rsid w:val="00AC28DB"/>
    <w:rsid w:val="00AC298F"/>
    <w:rsid w:val="00AC339B"/>
    <w:rsid w:val="00AC36D7"/>
    <w:rsid w:val="00AC399F"/>
    <w:rsid w:val="00AC4AAB"/>
    <w:rsid w:val="00AC5058"/>
    <w:rsid w:val="00AC564C"/>
    <w:rsid w:val="00AC57E3"/>
    <w:rsid w:val="00AC6657"/>
    <w:rsid w:val="00AC76A4"/>
    <w:rsid w:val="00AC7BD6"/>
    <w:rsid w:val="00AD0280"/>
    <w:rsid w:val="00AD0D42"/>
    <w:rsid w:val="00AD4681"/>
    <w:rsid w:val="00AD48F4"/>
    <w:rsid w:val="00AD62BA"/>
    <w:rsid w:val="00AD679C"/>
    <w:rsid w:val="00AD6B20"/>
    <w:rsid w:val="00AD6D79"/>
    <w:rsid w:val="00AE0B85"/>
    <w:rsid w:val="00AE1DD6"/>
    <w:rsid w:val="00AE1E12"/>
    <w:rsid w:val="00AE2259"/>
    <w:rsid w:val="00AE22C1"/>
    <w:rsid w:val="00AE2588"/>
    <w:rsid w:val="00AE26DE"/>
    <w:rsid w:val="00AE2ECA"/>
    <w:rsid w:val="00AE49F0"/>
    <w:rsid w:val="00AE4BC1"/>
    <w:rsid w:val="00AE502F"/>
    <w:rsid w:val="00AE605E"/>
    <w:rsid w:val="00AE62E5"/>
    <w:rsid w:val="00AE6799"/>
    <w:rsid w:val="00AF01D7"/>
    <w:rsid w:val="00AF0241"/>
    <w:rsid w:val="00AF0984"/>
    <w:rsid w:val="00AF0D7A"/>
    <w:rsid w:val="00AF14CC"/>
    <w:rsid w:val="00AF1C56"/>
    <w:rsid w:val="00AF38A9"/>
    <w:rsid w:val="00AF409B"/>
    <w:rsid w:val="00AF4CD0"/>
    <w:rsid w:val="00AF50C1"/>
    <w:rsid w:val="00AF57EF"/>
    <w:rsid w:val="00AF62A3"/>
    <w:rsid w:val="00AF77D7"/>
    <w:rsid w:val="00B00600"/>
    <w:rsid w:val="00B01864"/>
    <w:rsid w:val="00B0195D"/>
    <w:rsid w:val="00B02C12"/>
    <w:rsid w:val="00B03009"/>
    <w:rsid w:val="00B03EF5"/>
    <w:rsid w:val="00B0426A"/>
    <w:rsid w:val="00B04847"/>
    <w:rsid w:val="00B0532C"/>
    <w:rsid w:val="00B05418"/>
    <w:rsid w:val="00B054FF"/>
    <w:rsid w:val="00B05BE3"/>
    <w:rsid w:val="00B05BFA"/>
    <w:rsid w:val="00B0602B"/>
    <w:rsid w:val="00B067E0"/>
    <w:rsid w:val="00B06FC7"/>
    <w:rsid w:val="00B0778D"/>
    <w:rsid w:val="00B1208F"/>
    <w:rsid w:val="00B142B5"/>
    <w:rsid w:val="00B14B4B"/>
    <w:rsid w:val="00B14EF9"/>
    <w:rsid w:val="00B15C29"/>
    <w:rsid w:val="00B1614F"/>
    <w:rsid w:val="00B166D9"/>
    <w:rsid w:val="00B16845"/>
    <w:rsid w:val="00B1716E"/>
    <w:rsid w:val="00B17485"/>
    <w:rsid w:val="00B1798E"/>
    <w:rsid w:val="00B2039E"/>
    <w:rsid w:val="00B221B5"/>
    <w:rsid w:val="00B22D1F"/>
    <w:rsid w:val="00B23404"/>
    <w:rsid w:val="00B23F0C"/>
    <w:rsid w:val="00B24750"/>
    <w:rsid w:val="00B25591"/>
    <w:rsid w:val="00B2561E"/>
    <w:rsid w:val="00B25F68"/>
    <w:rsid w:val="00B26246"/>
    <w:rsid w:val="00B2627C"/>
    <w:rsid w:val="00B26CA9"/>
    <w:rsid w:val="00B26F80"/>
    <w:rsid w:val="00B30366"/>
    <w:rsid w:val="00B316C6"/>
    <w:rsid w:val="00B3184A"/>
    <w:rsid w:val="00B32312"/>
    <w:rsid w:val="00B34307"/>
    <w:rsid w:val="00B34316"/>
    <w:rsid w:val="00B345CD"/>
    <w:rsid w:val="00B34E9A"/>
    <w:rsid w:val="00B3573F"/>
    <w:rsid w:val="00B36A06"/>
    <w:rsid w:val="00B36C9B"/>
    <w:rsid w:val="00B37472"/>
    <w:rsid w:val="00B377EF"/>
    <w:rsid w:val="00B4062B"/>
    <w:rsid w:val="00B40CF5"/>
    <w:rsid w:val="00B423AF"/>
    <w:rsid w:val="00B42BFC"/>
    <w:rsid w:val="00B42E4E"/>
    <w:rsid w:val="00B43EE2"/>
    <w:rsid w:val="00B44B2A"/>
    <w:rsid w:val="00B45375"/>
    <w:rsid w:val="00B45B48"/>
    <w:rsid w:val="00B45D27"/>
    <w:rsid w:val="00B46920"/>
    <w:rsid w:val="00B46A77"/>
    <w:rsid w:val="00B477FC"/>
    <w:rsid w:val="00B4780B"/>
    <w:rsid w:val="00B504CB"/>
    <w:rsid w:val="00B5058E"/>
    <w:rsid w:val="00B50DDE"/>
    <w:rsid w:val="00B5126D"/>
    <w:rsid w:val="00B513C3"/>
    <w:rsid w:val="00B51ABE"/>
    <w:rsid w:val="00B5202D"/>
    <w:rsid w:val="00B53513"/>
    <w:rsid w:val="00B5563C"/>
    <w:rsid w:val="00B55D4E"/>
    <w:rsid w:val="00B55D69"/>
    <w:rsid w:val="00B56747"/>
    <w:rsid w:val="00B56AF1"/>
    <w:rsid w:val="00B571C5"/>
    <w:rsid w:val="00B60EAB"/>
    <w:rsid w:val="00B611F8"/>
    <w:rsid w:val="00B62852"/>
    <w:rsid w:val="00B628B3"/>
    <w:rsid w:val="00B63C92"/>
    <w:rsid w:val="00B63F78"/>
    <w:rsid w:val="00B64D8D"/>
    <w:rsid w:val="00B65129"/>
    <w:rsid w:val="00B6613A"/>
    <w:rsid w:val="00B6619A"/>
    <w:rsid w:val="00B6625F"/>
    <w:rsid w:val="00B662E2"/>
    <w:rsid w:val="00B66573"/>
    <w:rsid w:val="00B666C5"/>
    <w:rsid w:val="00B67DA2"/>
    <w:rsid w:val="00B704FC"/>
    <w:rsid w:val="00B72DBF"/>
    <w:rsid w:val="00B737DF"/>
    <w:rsid w:val="00B74DD9"/>
    <w:rsid w:val="00B75856"/>
    <w:rsid w:val="00B76708"/>
    <w:rsid w:val="00B76E8A"/>
    <w:rsid w:val="00B77152"/>
    <w:rsid w:val="00B81343"/>
    <w:rsid w:val="00B81802"/>
    <w:rsid w:val="00B834F8"/>
    <w:rsid w:val="00B83E21"/>
    <w:rsid w:val="00B842AB"/>
    <w:rsid w:val="00B84C38"/>
    <w:rsid w:val="00B85D89"/>
    <w:rsid w:val="00B86B9C"/>
    <w:rsid w:val="00B86C85"/>
    <w:rsid w:val="00B86D82"/>
    <w:rsid w:val="00B86FDE"/>
    <w:rsid w:val="00B87C9B"/>
    <w:rsid w:val="00B87F5F"/>
    <w:rsid w:val="00B926D8"/>
    <w:rsid w:val="00B93439"/>
    <w:rsid w:val="00B94B37"/>
    <w:rsid w:val="00B94DE8"/>
    <w:rsid w:val="00B94E2C"/>
    <w:rsid w:val="00B9542E"/>
    <w:rsid w:val="00B95926"/>
    <w:rsid w:val="00B96B3E"/>
    <w:rsid w:val="00B96E69"/>
    <w:rsid w:val="00B96EA7"/>
    <w:rsid w:val="00B97249"/>
    <w:rsid w:val="00BA0062"/>
    <w:rsid w:val="00BA18E4"/>
    <w:rsid w:val="00BA1B4C"/>
    <w:rsid w:val="00BA1CC4"/>
    <w:rsid w:val="00BA1EC3"/>
    <w:rsid w:val="00BA360A"/>
    <w:rsid w:val="00BA36FE"/>
    <w:rsid w:val="00BA399F"/>
    <w:rsid w:val="00BA43E1"/>
    <w:rsid w:val="00BA494B"/>
    <w:rsid w:val="00BA4A45"/>
    <w:rsid w:val="00BA4F1D"/>
    <w:rsid w:val="00BA556B"/>
    <w:rsid w:val="00BA677F"/>
    <w:rsid w:val="00BA67FA"/>
    <w:rsid w:val="00BA68C8"/>
    <w:rsid w:val="00BB0636"/>
    <w:rsid w:val="00BB0EAB"/>
    <w:rsid w:val="00BB1897"/>
    <w:rsid w:val="00BB2228"/>
    <w:rsid w:val="00BB29A9"/>
    <w:rsid w:val="00BB333E"/>
    <w:rsid w:val="00BB33A5"/>
    <w:rsid w:val="00BB37BD"/>
    <w:rsid w:val="00BB40D2"/>
    <w:rsid w:val="00BB4A38"/>
    <w:rsid w:val="00BB5298"/>
    <w:rsid w:val="00BB5416"/>
    <w:rsid w:val="00BB5DB6"/>
    <w:rsid w:val="00BB607F"/>
    <w:rsid w:val="00BB6ED8"/>
    <w:rsid w:val="00BB7554"/>
    <w:rsid w:val="00BB7616"/>
    <w:rsid w:val="00BC0915"/>
    <w:rsid w:val="00BC0D03"/>
    <w:rsid w:val="00BC1521"/>
    <w:rsid w:val="00BC19A4"/>
    <w:rsid w:val="00BC3944"/>
    <w:rsid w:val="00BC3F4E"/>
    <w:rsid w:val="00BC464D"/>
    <w:rsid w:val="00BC49AB"/>
    <w:rsid w:val="00BC4BFF"/>
    <w:rsid w:val="00BC685B"/>
    <w:rsid w:val="00BC6F9F"/>
    <w:rsid w:val="00BC73E3"/>
    <w:rsid w:val="00BD12FE"/>
    <w:rsid w:val="00BD2911"/>
    <w:rsid w:val="00BD3B26"/>
    <w:rsid w:val="00BD40C9"/>
    <w:rsid w:val="00BD4292"/>
    <w:rsid w:val="00BD4DC3"/>
    <w:rsid w:val="00BD5DFC"/>
    <w:rsid w:val="00BD6118"/>
    <w:rsid w:val="00BD6DC7"/>
    <w:rsid w:val="00BD715A"/>
    <w:rsid w:val="00BE02D5"/>
    <w:rsid w:val="00BE0311"/>
    <w:rsid w:val="00BE03F8"/>
    <w:rsid w:val="00BE1875"/>
    <w:rsid w:val="00BE19B3"/>
    <w:rsid w:val="00BE19FF"/>
    <w:rsid w:val="00BE2062"/>
    <w:rsid w:val="00BE3115"/>
    <w:rsid w:val="00BE3422"/>
    <w:rsid w:val="00BE56BE"/>
    <w:rsid w:val="00BE5DC3"/>
    <w:rsid w:val="00BE6508"/>
    <w:rsid w:val="00BE6625"/>
    <w:rsid w:val="00BE698E"/>
    <w:rsid w:val="00BE6D3B"/>
    <w:rsid w:val="00BE6FE6"/>
    <w:rsid w:val="00BE7CDB"/>
    <w:rsid w:val="00BF010C"/>
    <w:rsid w:val="00BF01CB"/>
    <w:rsid w:val="00BF1BC9"/>
    <w:rsid w:val="00BF22D2"/>
    <w:rsid w:val="00BF3134"/>
    <w:rsid w:val="00BF39AC"/>
    <w:rsid w:val="00BF3AAF"/>
    <w:rsid w:val="00BF508C"/>
    <w:rsid w:val="00BF789F"/>
    <w:rsid w:val="00BF7C3F"/>
    <w:rsid w:val="00C00221"/>
    <w:rsid w:val="00C0022B"/>
    <w:rsid w:val="00C00EA7"/>
    <w:rsid w:val="00C010DE"/>
    <w:rsid w:val="00C01C9B"/>
    <w:rsid w:val="00C01EF7"/>
    <w:rsid w:val="00C02CA4"/>
    <w:rsid w:val="00C03429"/>
    <w:rsid w:val="00C03803"/>
    <w:rsid w:val="00C03840"/>
    <w:rsid w:val="00C03946"/>
    <w:rsid w:val="00C0488A"/>
    <w:rsid w:val="00C0526A"/>
    <w:rsid w:val="00C06813"/>
    <w:rsid w:val="00C068C7"/>
    <w:rsid w:val="00C07D97"/>
    <w:rsid w:val="00C108F6"/>
    <w:rsid w:val="00C10979"/>
    <w:rsid w:val="00C11114"/>
    <w:rsid w:val="00C11DCC"/>
    <w:rsid w:val="00C11E8A"/>
    <w:rsid w:val="00C12597"/>
    <w:rsid w:val="00C12633"/>
    <w:rsid w:val="00C12647"/>
    <w:rsid w:val="00C12C3D"/>
    <w:rsid w:val="00C12E32"/>
    <w:rsid w:val="00C13788"/>
    <w:rsid w:val="00C14915"/>
    <w:rsid w:val="00C154FC"/>
    <w:rsid w:val="00C15942"/>
    <w:rsid w:val="00C159BC"/>
    <w:rsid w:val="00C15B9C"/>
    <w:rsid w:val="00C15C47"/>
    <w:rsid w:val="00C17C91"/>
    <w:rsid w:val="00C20044"/>
    <w:rsid w:val="00C20C32"/>
    <w:rsid w:val="00C2183C"/>
    <w:rsid w:val="00C21B8C"/>
    <w:rsid w:val="00C225B0"/>
    <w:rsid w:val="00C227B2"/>
    <w:rsid w:val="00C22B99"/>
    <w:rsid w:val="00C22C44"/>
    <w:rsid w:val="00C23057"/>
    <w:rsid w:val="00C2371A"/>
    <w:rsid w:val="00C24AFF"/>
    <w:rsid w:val="00C2585C"/>
    <w:rsid w:val="00C267ED"/>
    <w:rsid w:val="00C26F7F"/>
    <w:rsid w:val="00C27B79"/>
    <w:rsid w:val="00C3065F"/>
    <w:rsid w:val="00C30D4C"/>
    <w:rsid w:val="00C31203"/>
    <w:rsid w:val="00C326FB"/>
    <w:rsid w:val="00C32D14"/>
    <w:rsid w:val="00C33311"/>
    <w:rsid w:val="00C3343C"/>
    <w:rsid w:val="00C339BD"/>
    <w:rsid w:val="00C3478E"/>
    <w:rsid w:val="00C349CD"/>
    <w:rsid w:val="00C34D8B"/>
    <w:rsid w:val="00C36287"/>
    <w:rsid w:val="00C363B7"/>
    <w:rsid w:val="00C36A3A"/>
    <w:rsid w:val="00C36CD8"/>
    <w:rsid w:val="00C40CA0"/>
    <w:rsid w:val="00C4180A"/>
    <w:rsid w:val="00C419DE"/>
    <w:rsid w:val="00C42E41"/>
    <w:rsid w:val="00C43112"/>
    <w:rsid w:val="00C43518"/>
    <w:rsid w:val="00C4441E"/>
    <w:rsid w:val="00C4452F"/>
    <w:rsid w:val="00C45451"/>
    <w:rsid w:val="00C45465"/>
    <w:rsid w:val="00C457BA"/>
    <w:rsid w:val="00C468FC"/>
    <w:rsid w:val="00C46E5D"/>
    <w:rsid w:val="00C46ED7"/>
    <w:rsid w:val="00C47AEF"/>
    <w:rsid w:val="00C47F87"/>
    <w:rsid w:val="00C516DC"/>
    <w:rsid w:val="00C51775"/>
    <w:rsid w:val="00C519BB"/>
    <w:rsid w:val="00C52A7B"/>
    <w:rsid w:val="00C53240"/>
    <w:rsid w:val="00C53328"/>
    <w:rsid w:val="00C543C0"/>
    <w:rsid w:val="00C54C8D"/>
    <w:rsid w:val="00C54CA2"/>
    <w:rsid w:val="00C557E3"/>
    <w:rsid w:val="00C5595B"/>
    <w:rsid w:val="00C55D8D"/>
    <w:rsid w:val="00C5726C"/>
    <w:rsid w:val="00C57552"/>
    <w:rsid w:val="00C575A5"/>
    <w:rsid w:val="00C57DD4"/>
    <w:rsid w:val="00C6101D"/>
    <w:rsid w:val="00C61F83"/>
    <w:rsid w:val="00C623A2"/>
    <w:rsid w:val="00C62DB1"/>
    <w:rsid w:val="00C62E0A"/>
    <w:rsid w:val="00C62EC7"/>
    <w:rsid w:val="00C63B58"/>
    <w:rsid w:val="00C63CD2"/>
    <w:rsid w:val="00C64084"/>
    <w:rsid w:val="00C64303"/>
    <w:rsid w:val="00C64353"/>
    <w:rsid w:val="00C64448"/>
    <w:rsid w:val="00C648B5"/>
    <w:rsid w:val="00C657AA"/>
    <w:rsid w:val="00C65C9A"/>
    <w:rsid w:val="00C6694C"/>
    <w:rsid w:val="00C66CA6"/>
    <w:rsid w:val="00C67963"/>
    <w:rsid w:val="00C67A44"/>
    <w:rsid w:val="00C70709"/>
    <w:rsid w:val="00C709CA"/>
    <w:rsid w:val="00C70B18"/>
    <w:rsid w:val="00C710A1"/>
    <w:rsid w:val="00C71E10"/>
    <w:rsid w:val="00C725BD"/>
    <w:rsid w:val="00C72600"/>
    <w:rsid w:val="00C73B43"/>
    <w:rsid w:val="00C742A0"/>
    <w:rsid w:val="00C7460F"/>
    <w:rsid w:val="00C74713"/>
    <w:rsid w:val="00C754A0"/>
    <w:rsid w:val="00C75983"/>
    <w:rsid w:val="00C76041"/>
    <w:rsid w:val="00C765C6"/>
    <w:rsid w:val="00C76ACE"/>
    <w:rsid w:val="00C7716D"/>
    <w:rsid w:val="00C7749D"/>
    <w:rsid w:val="00C8009C"/>
    <w:rsid w:val="00C8099C"/>
    <w:rsid w:val="00C80EDF"/>
    <w:rsid w:val="00C81104"/>
    <w:rsid w:val="00C81B9C"/>
    <w:rsid w:val="00C81DD6"/>
    <w:rsid w:val="00C81F28"/>
    <w:rsid w:val="00C820C9"/>
    <w:rsid w:val="00C82261"/>
    <w:rsid w:val="00C830FA"/>
    <w:rsid w:val="00C8318A"/>
    <w:rsid w:val="00C837BD"/>
    <w:rsid w:val="00C83C34"/>
    <w:rsid w:val="00C84C64"/>
    <w:rsid w:val="00C86CA2"/>
    <w:rsid w:val="00C86D05"/>
    <w:rsid w:val="00C8766F"/>
    <w:rsid w:val="00C87C65"/>
    <w:rsid w:val="00C919D4"/>
    <w:rsid w:val="00C92B30"/>
    <w:rsid w:val="00C93BBE"/>
    <w:rsid w:val="00C93D8F"/>
    <w:rsid w:val="00C93E93"/>
    <w:rsid w:val="00C93F63"/>
    <w:rsid w:val="00C9433B"/>
    <w:rsid w:val="00C94375"/>
    <w:rsid w:val="00C94408"/>
    <w:rsid w:val="00C94F41"/>
    <w:rsid w:val="00C953D6"/>
    <w:rsid w:val="00C954D3"/>
    <w:rsid w:val="00C95852"/>
    <w:rsid w:val="00C96823"/>
    <w:rsid w:val="00C96AB4"/>
    <w:rsid w:val="00C96D62"/>
    <w:rsid w:val="00C97CC7"/>
    <w:rsid w:val="00CA0896"/>
    <w:rsid w:val="00CA1E75"/>
    <w:rsid w:val="00CA1ED2"/>
    <w:rsid w:val="00CA22D0"/>
    <w:rsid w:val="00CA34E3"/>
    <w:rsid w:val="00CA34F1"/>
    <w:rsid w:val="00CA3B22"/>
    <w:rsid w:val="00CA4561"/>
    <w:rsid w:val="00CA57D5"/>
    <w:rsid w:val="00CA6012"/>
    <w:rsid w:val="00CA62D2"/>
    <w:rsid w:val="00CA6943"/>
    <w:rsid w:val="00CA70AC"/>
    <w:rsid w:val="00CA7185"/>
    <w:rsid w:val="00CA731E"/>
    <w:rsid w:val="00CA755B"/>
    <w:rsid w:val="00CB06A5"/>
    <w:rsid w:val="00CB06C3"/>
    <w:rsid w:val="00CB086E"/>
    <w:rsid w:val="00CB184E"/>
    <w:rsid w:val="00CB1CB9"/>
    <w:rsid w:val="00CB207C"/>
    <w:rsid w:val="00CB2F11"/>
    <w:rsid w:val="00CB3938"/>
    <w:rsid w:val="00CB3F9A"/>
    <w:rsid w:val="00CB4384"/>
    <w:rsid w:val="00CB49A6"/>
    <w:rsid w:val="00CB4A19"/>
    <w:rsid w:val="00CB4A1B"/>
    <w:rsid w:val="00CB4AD3"/>
    <w:rsid w:val="00CB59F3"/>
    <w:rsid w:val="00CB683C"/>
    <w:rsid w:val="00CB6B62"/>
    <w:rsid w:val="00CB7BB1"/>
    <w:rsid w:val="00CC0472"/>
    <w:rsid w:val="00CC083E"/>
    <w:rsid w:val="00CC0AE0"/>
    <w:rsid w:val="00CC0AF7"/>
    <w:rsid w:val="00CC157B"/>
    <w:rsid w:val="00CC1FED"/>
    <w:rsid w:val="00CC2B72"/>
    <w:rsid w:val="00CC2B90"/>
    <w:rsid w:val="00CC3687"/>
    <w:rsid w:val="00CC3C79"/>
    <w:rsid w:val="00CC3F16"/>
    <w:rsid w:val="00CC41D4"/>
    <w:rsid w:val="00CC42AD"/>
    <w:rsid w:val="00CC47BB"/>
    <w:rsid w:val="00CC4A25"/>
    <w:rsid w:val="00CC4AE5"/>
    <w:rsid w:val="00CC568C"/>
    <w:rsid w:val="00CC6079"/>
    <w:rsid w:val="00CC632E"/>
    <w:rsid w:val="00CC7C45"/>
    <w:rsid w:val="00CD0033"/>
    <w:rsid w:val="00CD0B0E"/>
    <w:rsid w:val="00CD3ECE"/>
    <w:rsid w:val="00CD4345"/>
    <w:rsid w:val="00CD560F"/>
    <w:rsid w:val="00CD5BA8"/>
    <w:rsid w:val="00CD5D57"/>
    <w:rsid w:val="00CE0877"/>
    <w:rsid w:val="00CE17C9"/>
    <w:rsid w:val="00CE1B79"/>
    <w:rsid w:val="00CE1CDD"/>
    <w:rsid w:val="00CE2938"/>
    <w:rsid w:val="00CE2BA7"/>
    <w:rsid w:val="00CE3468"/>
    <w:rsid w:val="00CE4896"/>
    <w:rsid w:val="00CE4C0C"/>
    <w:rsid w:val="00CE4F25"/>
    <w:rsid w:val="00CE5476"/>
    <w:rsid w:val="00CE58C3"/>
    <w:rsid w:val="00CE65B5"/>
    <w:rsid w:val="00CE71F6"/>
    <w:rsid w:val="00CE7B70"/>
    <w:rsid w:val="00CF038C"/>
    <w:rsid w:val="00CF0C07"/>
    <w:rsid w:val="00CF0ED9"/>
    <w:rsid w:val="00CF102F"/>
    <w:rsid w:val="00CF17E5"/>
    <w:rsid w:val="00CF2909"/>
    <w:rsid w:val="00CF2C98"/>
    <w:rsid w:val="00CF3132"/>
    <w:rsid w:val="00CF377E"/>
    <w:rsid w:val="00CF4EFE"/>
    <w:rsid w:val="00CF5512"/>
    <w:rsid w:val="00CF58DE"/>
    <w:rsid w:val="00CF598F"/>
    <w:rsid w:val="00CF7CB1"/>
    <w:rsid w:val="00D00574"/>
    <w:rsid w:val="00D0070A"/>
    <w:rsid w:val="00D00AC8"/>
    <w:rsid w:val="00D00D30"/>
    <w:rsid w:val="00D017A6"/>
    <w:rsid w:val="00D02720"/>
    <w:rsid w:val="00D02778"/>
    <w:rsid w:val="00D03974"/>
    <w:rsid w:val="00D04378"/>
    <w:rsid w:val="00D04E52"/>
    <w:rsid w:val="00D05443"/>
    <w:rsid w:val="00D0589C"/>
    <w:rsid w:val="00D05DF8"/>
    <w:rsid w:val="00D05E3A"/>
    <w:rsid w:val="00D062C9"/>
    <w:rsid w:val="00D0631F"/>
    <w:rsid w:val="00D06C76"/>
    <w:rsid w:val="00D104F1"/>
    <w:rsid w:val="00D1108A"/>
    <w:rsid w:val="00D124EA"/>
    <w:rsid w:val="00D12593"/>
    <w:rsid w:val="00D13471"/>
    <w:rsid w:val="00D13958"/>
    <w:rsid w:val="00D14658"/>
    <w:rsid w:val="00D14926"/>
    <w:rsid w:val="00D14EE9"/>
    <w:rsid w:val="00D15421"/>
    <w:rsid w:val="00D17D75"/>
    <w:rsid w:val="00D2280A"/>
    <w:rsid w:val="00D22CCD"/>
    <w:rsid w:val="00D22F69"/>
    <w:rsid w:val="00D23B7F"/>
    <w:rsid w:val="00D247FC"/>
    <w:rsid w:val="00D24982"/>
    <w:rsid w:val="00D24B55"/>
    <w:rsid w:val="00D24E88"/>
    <w:rsid w:val="00D2517B"/>
    <w:rsid w:val="00D258A3"/>
    <w:rsid w:val="00D25A8C"/>
    <w:rsid w:val="00D25C48"/>
    <w:rsid w:val="00D260D9"/>
    <w:rsid w:val="00D2682C"/>
    <w:rsid w:val="00D26F18"/>
    <w:rsid w:val="00D2706F"/>
    <w:rsid w:val="00D27515"/>
    <w:rsid w:val="00D27F84"/>
    <w:rsid w:val="00D30643"/>
    <w:rsid w:val="00D31293"/>
    <w:rsid w:val="00D31A57"/>
    <w:rsid w:val="00D31BE3"/>
    <w:rsid w:val="00D31F12"/>
    <w:rsid w:val="00D33185"/>
    <w:rsid w:val="00D3383F"/>
    <w:rsid w:val="00D35106"/>
    <w:rsid w:val="00D35CB9"/>
    <w:rsid w:val="00D36121"/>
    <w:rsid w:val="00D36B79"/>
    <w:rsid w:val="00D4056A"/>
    <w:rsid w:val="00D413C8"/>
    <w:rsid w:val="00D42FB2"/>
    <w:rsid w:val="00D43216"/>
    <w:rsid w:val="00D43452"/>
    <w:rsid w:val="00D434B9"/>
    <w:rsid w:val="00D43A84"/>
    <w:rsid w:val="00D44074"/>
    <w:rsid w:val="00D443C4"/>
    <w:rsid w:val="00D467FC"/>
    <w:rsid w:val="00D46E20"/>
    <w:rsid w:val="00D47E2C"/>
    <w:rsid w:val="00D47EC3"/>
    <w:rsid w:val="00D501CE"/>
    <w:rsid w:val="00D504E8"/>
    <w:rsid w:val="00D5072F"/>
    <w:rsid w:val="00D50D96"/>
    <w:rsid w:val="00D517D5"/>
    <w:rsid w:val="00D51F76"/>
    <w:rsid w:val="00D525FC"/>
    <w:rsid w:val="00D54529"/>
    <w:rsid w:val="00D5498B"/>
    <w:rsid w:val="00D5529C"/>
    <w:rsid w:val="00D564FA"/>
    <w:rsid w:val="00D56D30"/>
    <w:rsid w:val="00D60493"/>
    <w:rsid w:val="00D60B2B"/>
    <w:rsid w:val="00D60BD5"/>
    <w:rsid w:val="00D61D3C"/>
    <w:rsid w:val="00D62174"/>
    <w:rsid w:val="00D6246E"/>
    <w:rsid w:val="00D62491"/>
    <w:rsid w:val="00D62619"/>
    <w:rsid w:val="00D638AF"/>
    <w:rsid w:val="00D63FF5"/>
    <w:rsid w:val="00D659EE"/>
    <w:rsid w:val="00D66B66"/>
    <w:rsid w:val="00D66F9F"/>
    <w:rsid w:val="00D67178"/>
    <w:rsid w:val="00D67292"/>
    <w:rsid w:val="00D67728"/>
    <w:rsid w:val="00D67BA0"/>
    <w:rsid w:val="00D709D8"/>
    <w:rsid w:val="00D71235"/>
    <w:rsid w:val="00D719E5"/>
    <w:rsid w:val="00D72C15"/>
    <w:rsid w:val="00D73349"/>
    <w:rsid w:val="00D75F67"/>
    <w:rsid w:val="00D764AF"/>
    <w:rsid w:val="00D766AE"/>
    <w:rsid w:val="00D76760"/>
    <w:rsid w:val="00D76A20"/>
    <w:rsid w:val="00D771BC"/>
    <w:rsid w:val="00D77358"/>
    <w:rsid w:val="00D80156"/>
    <w:rsid w:val="00D80301"/>
    <w:rsid w:val="00D81259"/>
    <w:rsid w:val="00D816DD"/>
    <w:rsid w:val="00D8263F"/>
    <w:rsid w:val="00D82D36"/>
    <w:rsid w:val="00D82DDB"/>
    <w:rsid w:val="00D82F50"/>
    <w:rsid w:val="00D82FC0"/>
    <w:rsid w:val="00D8316C"/>
    <w:rsid w:val="00D8374D"/>
    <w:rsid w:val="00D8398E"/>
    <w:rsid w:val="00D8519D"/>
    <w:rsid w:val="00D8528C"/>
    <w:rsid w:val="00D85779"/>
    <w:rsid w:val="00D85A25"/>
    <w:rsid w:val="00D85D32"/>
    <w:rsid w:val="00D85D3D"/>
    <w:rsid w:val="00D85DF8"/>
    <w:rsid w:val="00D86BAC"/>
    <w:rsid w:val="00D87833"/>
    <w:rsid w:val="00D904CA"/>
    <w:rsid w:val="00D923DC"/>
    <w:rsid w:val="00D924D6"/>
    <w:rsid w:val="00D935EA"/>
    <w:rsid w:val="00D95B24"/>
    <w:rsid w:val="00D96A15"/>
    <w:rsid w:val="00DA091E"/>
    <w:rsid w:val="00DA0EFE"/>
    <w:rsid w:val="00DA142C"/>
    <w:rsid w:val="00DA25F5"/>
    <w:rsid w:val="00DA2E8F"/>
    <w:rsid w:val="00DA3AA0"/>
    <w:rsid w:val="00DA440A"/>
    <w:rsid w:val="00DA46C9"/>
    <w:rsid w:val="00DA4CB2"/>
    <w:rsid w:val="00DA667C"/>
    <w:rsid w:val="00DA6995"/>
    <w:rsid w:val="00DB2A01"/>
    <w:rsid w:val="00DB2D1B"/>
    <w:rsid w:val="00DB40C3"/>
    <w:rsid w:val="00DB5046"/>
    <w:rsid w:val="00DB5155"/>
    <w:rsid w:val="00DB58FA"/>
    <w:rsid w:val="00DB69CD"/>
    <w:rsid w:val="00DB6E2E"/>
    <w:rsid w:val="00DC069F"/>
    <w:rsid w:val="00DC0858"/>
    <w:rsid w:val="00DC0F89"/>
    <w:rsid w:val="00DC1311"/>
    <w:rsid w:val="00DC1544"/>
    <w:rsid w:val="00DC22F4"/>
    <w:rsid w:val="00DC333A"/>
    <w:rsid w:val="00DC495A"/>
    <w:rsid w:val="00DC5639"/>
    <w:rsid w:val="00DC7FF5"/>
    <w:rsid w:val="00DD1F5C"/>
    <w:rsid w:val="00DD2407"/>
    <w:rsid w:val="00DD28B7"/>
    <w:rsid w:val="00DD2B35"/>
    <w:rsid w:val="00DD3858"/>
    <w:rsid w:val="00DD39AF"/>
    <w:rsid w:val="00DD3AC9"/>
    <w:rsid w:val="00DD3F9F"/>
    <w:rsid w:val="00DD434D"/>
    <w:rsid w:val="00DD4B04"/>
    <w:rsid w:val="00DD6FE6"/>
    <w:rsid w:val="00DD71C5"/>
    <w:rsid w:val="00DD7B50"/>
    <w:rsid w:val="00DE005F"/>
    <w:rsid w:val="00DE0BD7"/>
    <w:rsid w:val="00DE1385"/>
    <w:rsid w:val="00DE2599"/>
    <w:rsid w:val="00DE2FE1"/>
    <w:rsid w:val="00DE3091"/>
    <w:rsid w:val="00DE3AF7"/>
    <w:rsid w:val="00DE576E"/>
    <w:rsid w:val="00DE59B4"/>
    <w:rsid w:val="00DE5CE0"/>
    <w:rsid w:val="00DE5F99"/>
    <w:rsid w:val="00DE6605"/>
    <w:rsid w:val="00DE673E"/>
    <w:rsid w:val="00DE70EE"/>
    <w:rsid w:val="00DF0048"/>
    <w:rsid w:val="00DF223B"/>
    <w:rsid w:val="00DF2C65"/>
    <w:rsid w:val="00DF2F32"/>
    <w:rsid w:val="00DF4AEA"/>
    <w:rsid w:val="00DF57BD"/>
    <w:rsid w:val="00DF6925"/>
    <w:rsid w:val="00E00D1E"/>
    <w:rsid w:val="00E00F1A"/>
    <w:rsid w:val="00E0152D"/>
    <w:rsid w:val="00E017D6"/>
    <w:rsid w:val="00E022A3"/>
    <w:rsid w:val="00E02E85"/>
    <w:rsid w:val="00E04EE0"/>
    <w:rsid w:val="00E053C2"/>
    <w:rsid w:val="00E0562D"/>
    <w:rsid w:val="00E066F6"/>
    <w:rsid w:val="00E06C64"/>
    <w:rsid w:val="00E0718C"/>
    <w:rsid w:val="00E07A1C"/>
    <w:rsid w:val="00E07F93"/>
    <w:rsid w:val="00E10599"/>
    <w:rsid w:val="00E10929"/>
    <w:rsid w:val="00E1097C"/>
    <w:rsid w:val="00E11553"/>
    <w:rsid w:val="00E1219B"/>
    <w:rsid w:val="00E131BE"/>
    <w:rsid w:val="00E139DF"/>
    <w:rsid w:val="00E13F55"/>
    <w:rsid w:val="00E150A4"/>
    <w:rsid w:val="00E15C39"/>
    <w:rsid w:val="00E15CC5"/>
    <w:rsid w:val="00E15EE1"/>
    <w:rsid w:val="00E161D0"/>
    <w:rsid w:val="00E166E4"/>
    <w:rsid w:val="00E16B45"/>
    <w:rsid w:val="00E1784E"/>
    <w:rsid w:val="00E20052"/>
    <w:rsid w:val="00E2020C"/>
    <w:rsid w:val="00E206C1"/>
    <w:rsid w:val="00E212DC"/>
    <w:rsid w:val="00E21AEA"/>
    <w:rsid w:val="00E2249A"/>
    <w:rsid w:val="00E228BA"/>
    <w:rsid w:val="00E23DD6"/>
    <w:rsid w:val="00E240B3"/>
    <w:rsid w:val="00E277A5"/>
    <w:rsid w:val="00E27B90"/>
    <w:rsid w:val="00E3066B"/>
    <w:rsid w:val="00E30D86"/>
    <w:rsid w:val="00E3265C"/>
    <w:rsid w:val="00E32A0C"/>
    <w:rsid w:val="00E33012"/>
    <w:rsid w:val="00E3365F"/>
    <w:rsid w:val="00E33A6E"/>
    <w:rsid w:val="00E33CF9"/>
    <w:rsid w:val="00E35570"/>
    <w:rsid w:val="00E360D2"/>
    <w:rsid w:val="00E36460"/>
    <w:rsid w:val="00E36FEB"/>
    <w:rsid w:val="00E40B6E"/>
    <w:rsid w:val="00E43C69"/>
    <w:rsid w:val="00E441F7"/>
    <w:rsid w:val="00E44F15"/>
    <w:rsid w:val="00E45A4F"/>
    <w:rsid w:val="00E45C20"/>
    <w:rsid w:val="00E45C22"/>
    <w:rsid w:val="00E45DA2"/>
    <w:rsid w:val="00E46187"/>
    <w:rsid w:val="00E463AD"/>
    <w:rsid w:val="00E46592"/>
    <w:rsid w:val="00E46BCB"/>
    <w:rsid w:val="00E47706"/>
    <w:rsid w:val="00E47C63"/>
    <w:rsid w:val="00E50138"/>
    <w:rsid w:val="00E509A1"/>
    <w:rsid w:val="00E51050"/>
    <w:rsid w:val="00E51079"/>
    <w:rsid w:val="00E52113"/>
    <w:rsid w:val="00E5330E"/>
    <w:rsid w:val="00E5350D"/>
    <w:rsid w:val="00E53A4E"/>
    <w:rsid w:val="00E54E28"/>
    <w:rsid w:val="00E55AEF"/>
    <w:rsid w:val="00E55E19"/>
    <w:rsid w:val="00E55EED"/>
    <w:rsid w:val="00E55F87"/>
    <w:rsid w:val="00E570BC"/>
    <w:rsid w:val="00E602E5"/>
    <w:rsid w:val="00E6038C"/>
    <w:rsid w:val="00E603D6"/>
    <w:rsid w:val="00E61346"/>
    <w:rsid w:val="00E61C14"/>
    <w:rsid w:val="00E6255F"/>
    <w:rsid w:val="00E62C67"/>
    <w:rsid w:val="00E62CF2"/>
    <w:rsid w:val="00E6313E"/>
    <w:rsid w:val="00E63BCD"/>
    <w:rsid w:val="00E656DA"/>
    <w:rsid w:val="00E668E8"/>
    <w:rsid w:val="00E6714A"/>
    <w:rsid w:val="00E679AE"/>
    <w:rsid w:val="00E70090"/>
    <w:rsid w:val="00E7167F"/>
    <w:rsid w:val="00E719EB"/>
    <w:rsid w:val="00E72B0C"/>
    <w:rsid w:val="00E73228"/>
    <w:rsid w:val="00E73D7A"/>
    <w:rsid w:val="00E741FF"/>
    <w:rsid w:val="00E749FE"/>
    <w:rsid w:val="00E74FD2"/>
    <w:rsid w:val="00E76740"/>
    <w:rsid w:val="00E7695C"/>
    <w:rsid w:val="00E76B0D"/>
    <w:rsid w:val="00E77639"/>
    <w:rsid w:val="00E777DA"/>
    <w:rsid w:val="00E77B9A"/>
    <w:rsid w:val="00E77E19"/>
    <w:rsid w:val="00E82272"/>
    <w:rsid w:val="00E826DD"/>
    <w:rsid w:val="00E83FBE"/>
    <w:rsid w:val="00E84050"/>
    <w:rsid w:val="00E842F9"/>
    <w:rsid w:val="00E84B34"/>
    <w:rsid w:val="00E852CB"/>
    <w:rsid w:val="00E858FB"/>
    <w:rsid w:val="00E9087A"/>
    <w:rsid w:val="00E909A8"/>
    <w:rsid w:val="00E90EED"/>
    <w:rsid w:val="00E91011"/>
    <w:rsid w:val="00E9105D"/>
    <w:rsid w:val="00E9163D"/>
    <w:rsid w:val="00E91940"/>
    <w:rsid w:val="00E9206F"/>
    <w:rsid w:val="00E92BD0"/>
    <w:rsid w:val="00E93DD8"/>
    <w:rsid w:val="00E93E26"/>
    <w:rsid w:val="00E94CB3"/>
    <w:rsid w:val="00E95791"/>
    <w:rsid w:val="00E958A7"/>
    <w:rsid w:val="00E96A61"/>
    <w:rsid w:val="00E972B5"/>
    <w:rsid w:val="00EA0087"/>
    <w:rsid w:val="00EA01DF"/>
    <w:rsid w:val="00EA04BA"/>
    <w:rsid w:val="00EA0CA8"/>
    <w:rsid w:val="00EA1195"/>
    <w:rsid w:val="00EA160C"/>
    <w:rsid w:val="00EA17CD"/>
    <w:rsid w:val="00EA1C52"/>
    <w:rsid w:val="00EA1EBC"/>
    <w:rsid w:val="00EA3223"/>
    <w:rsid w:val="00EA3FF9"/>
    <w:rsid w:val="00EA4ADF"/>
    <w:rsid w:val="00EA4BD2"/>
    <w:rsid w:val="00EA5EDE"/>
    <w:rsid w:val="00EA6070"/>
    <w:rsid w:val="00EA6206"/>
    <w:rsid w:val="00EA6A28"/>
    <w:rsid w:val="00EA6BDF"/>
    <w:rsid w:val="00EA7E75"/>
    <w:rsid w:val="00EB27C2"/>
    <w:rsid w:val="00EB2FC0"/>
    <w:rsid w:val="00EB329C"/>
    <w:rsid w:val="00EB4748"/>
    <w:rsid w:val="00EB47A8"/>
    <w:rsid w:val="00EB50FB"/>
    <w:rsid w:val="00EB5251"/>
    <w:rsid w:val="00EB5ECB"/>
    <w:rsid w:val="00EB68D1"/>
    <w:rsid w:val="00EB717B"/>
    <w:rsid w:val="00EB766F"/>
    <w:rsid w:val="00EC01B3"/>
    <w:rsid w:val="00EC252B"/>
    <w:rsid w:val="00EC2983"/>
    <w:rsid w:val="00EC32F7"/>
    <w:rsid w:val="00EC339F"/>
    <w:rsid w:val="00EC37EA"/>
    <w:rsid w:val="00EC5869"/>
    <w:rsid w:val="00EC5AFB"/>
    <w:rsid w:val="00EC620A"/>
    <w:rsid w:val="00EC652E"/>
    <w:rsid w:val="00EC7C27"/>
    <w:rsid w:val="00EC7FB8"/>
    <w:rsid w:val="00ED0C3E"/>
    <w:rsid w:val="00ED123B"/>
    <w:rsid w:val="00ED1E50"/>
    <w:rsid w:val="00ED56DA"/>
    <w:rsid w:val="00ED58E8"/>
    <w:rsid w:val="00ED6F5F"/>
    <w:rsid w:val="00ED715C"/>
    <w:rsid w:val="00EE0111"/>
    <w:rsid w:val="00EE18BF"/>
    <w:rsid w:val="00EE1EDA"/>
    <w:rsid w:val="00EE1F07"/>
    <w:rsid w:val="00EE241A"/>
    <w:rsid w:val="00EE3142"/>
    <w:rsid w:val="00EE352C"/>
    <w:rsid w:val="00EE476E"/>
    <w:rsid w:val="00EE4EEA"/>
    <w:rsid w:val="00EE50DA"/>
    <w:rsid w:val="00EE742E"/>
    <w:rsid w:val="00EF1370"/>
    <w:rsid w:val="00EF1494"/>
    <w:rsid w:val="00EF1DD7"/>
    <w:rsid w:val="00EF2F4B"/>
    <w:rsid w:val="00EF3565"/>
    <w:rsid w:val="00EF4383"/>
    <w:rsid w:val="00EF44D6"/>
    <w:rsid w:val="00EF4900"/>
    <w:rsid w:val="00EF4BFE"/>
    <w:rsid w:val="00EF5B67"/>
    <w:rsid w:val="00EF6DCF"/>
    <w:rsid w:val="00EF78B3"/>
    <w:rsid w:val="00EF7A1A"/>
    <w:rsid w:val="00EF7CCA"/>
    <w:rsid w:val="00F03256"/>
    <w:rsid w:val="00F03BB3"/>
    <w:rsid w:val="00F04078"/>
    <w:rsid w:val="00F04350"/>
    <w:rsid w:val="00F056CF"/>
    <w:rsid w:val="00F05B66"/>
    <w:rsid w:val="00F0622D"/>
    <w:rsid w:val="00F06747"/>
    <w:rsid w:val="00F06B02"/>
    <w:rsid w:val="00F06C2A"/>
    <w:rsid w:val="00F072D9"/>
    <w:rsid w:val="00F11D43"/>
    <w:rsid w:val="00F11FBD"/>
    <w:rsid w:val="00F1230C"/>
    <w:rsid w:val="00F1268C"/>
    <w:rsid w:val="00F14297"/>
    <w:rsid w:val="00F15424"/>
    <w:rsid w:val="00F154F4"/>
    <w:rsid w:val="00F15A93"/>
    <w:rsid w:val="00F15EFC"/>
    <w:rsid w:val="00F165C9"/>
    <w:rsid w:val="00F16690"/>
    <w:rsid w:val="00F17501"/>
    <w:rsid w:val="00F2058C"/>
    <w:rsid w:val="00F20E82"/>
    <w:rsid w:val="00F21138"/>
    <w:rsid w:val="00F21590"/>
    <w:rsid w:val="00F217C2"/>
    <w:rsid w:val="00F21934"/>
    <w:rsid w:val="00F21A9B"/>
    <w:rsid w:val="00F21AAB"/>
    <w:rsid w:val="00F2315B"/>
    <w:rsid w:val="00F23E5E"/>
    <w:rsid w:val="00F2402A"/>
    <w:rsid w:val="00F2406C"/>
    <w:rsid w:val="00F247AF"/>
    <w:rsid w:val="00F25831"/>
    <w:rsid w:val="00F25C75"/>
    <w:rsid w:val="00F25F45"/>
    <w:rsid w:val="00F27763"/>
    <w:rsid w:val="00F303A0"/>
    <w:rsid w:val="00F30800"/>
    <w:rsid w:val="00F3095E"/>
    <w:rsid w:val="00F32F8C"/>
    <w:rsid w:val="00F3312B"/>
    <w:rsid w:val="00F33B6C"/>
    <w:rsid w:val="00F35355"/>
    <w:rsid w:val="00F35860"/>
    <w:rsid w:val="00F35FE6"/>
    <w:rsid w:val="00F3691A"/>
    <w:rsid w:val="00F37A7D"/>
    <w:rsid w:val="00F37D0D"/>
    <w:rsid w:val="00F40CA5"/>
    <w:rsid w:val="00F40F10"/>
    <w:rsid w:val="00F414C2"/>
    <w:rsid w:val="00F41B76"/>
    <w:rsid w:val="00F421EA"/>
    <w:rsid w:val="00F426DC"/>
    <w:rsid w:val="00F427AF"/>
    <w:rsid w:val="00F42803"/>
    <w:rsid w:val="00F43A6C"/>
    <w:rsid w:val="00F4403C"/>
    <w:rsid w:val="00F45208"/>
    <w:rsid w:val="00F45369"/>
    <w:rsid w:val="00F453EE"/>
    <w:rsid w:val="00F45F3B"/>
    <w:rsid w:val="00F45F5A"/>
    <w:rsid w:val="00F45FAC"/>
    <w:rsid w:val="00F460C2"/>
    <w:rsid w:val="00F46115"/>
    <w:rsid w:val="00F46A7A"/>
    <w:rsid w:val="00F50CCD"/>
    <w:rsid w:val="00F5139F"/>
    <w:rsid w:val="00F52154"/>
    <w:rsid w:val="00F52AEE"/>
    <w:rsid w:val="00F52C08"/>
    <w:rsid w:val="00F52D2D"/>
    <w:rsid w:val="00F5348F"/>
    <w:rsid w:val="00F53604"/>
    <w:rsid w:val="00F538F0"/>
    <w:rsid w:val="00F53D19"/>
    <w:rsid w:val="00F543AE"/>
    <w:rsid w:val="00F55223"/>
    <w:rsid w:val="00F55427"/>
    <w:rsid w:val="00F55818"/>
    <w:rsid w:val="00F55AA6"/>
    <w:rsid w:val="00F561B3"/>
    <w:rsid w:val="00F567D2"/>
    <w:rsid w:val="00F5687B"/>
    <w:rsid w:val="00F56F88"/>
    <w:rsid w:val="00F5769D"/>
    <w:rsid w:val="00F57AFB"/>
    <w:rsid w:val="00F61BCE"/>
    <w:rsid w:val="00F62DCC"/>
    <w:rsid w:val="00F631DD"/>
    <w:rsid w:val="00F6320A"/>
    <w:rsid w:val="00F64551"/>
    <w:rsid w:val="00F64FA7"/>
    <w:rsid w:val="00F6519E"/>
    <w:rsid w:val="00F65455"/>
    <w:rsid w:val="00F654DD"/>
    <w:rsid w:val="00F662E7"/>
    <w:rsid w:val="00F66CEF"/>
    <w:rsid w:val="00F673B5"/>
    <w:rsid w:val="00F70E0E"/>
    <w:rsid w:val="00F712D9"/>
    <w:rsid w:val="00F715E8"/>
    <w:rsid w:val="00F71721"/>
    <w:rsid w:val="00F7197A"/>
    <w:rsid w:val="00F71C5D"/>
    <w:rsid w:val="00F71F40"/>
    <w:rsid w:val="00F72924"/>
    <w:rsid w:val="00F72AC5"/>
    <w:rsid w:val="00F72C77"/>
    <w:rsid w:val="00F731C4"/>
    <w:rsid w:val="00F73AD5"/>
    <w:rsid w:val="00F73C0A"/>
    <w:rsid w:val="00F740C2"/>
    <w:rsid w:val="00F74D39"/>
    <w:rsid w:val="00F74E96"/>
    <w:rsid w:val="00F7584B"/>
    <w:rsid w:val="00F75D17"/>
    <w:rsid w:val="00F76514"/>
    <w:rsid w:val="00F80B34"/>
    <w:rsid w:val="00F81F99"/>
    <w:rsid w:val="00F830B8"/>
    <w:rsid w:val="00F84EDA"/>
    <w:rsid w:val="00F85434"/>
    <w:rsid w:val="00F858EC"/>
    <w:rsid w:val="00F876A7"/>
    <w:rsid w:val="00F90540"/>
    <w:rsid w:val="00F908FA"/>
    <w:rsid w:val="00F90F66"/>
    <w:rsid w:val="00F91548"/>
    <w:rsid w:val="00F91FB5"/>
    <w:rsid w:val="00F932BF"/>
    <w:rsid w:val="00F948B4"/>
    <w:rsid w:val="00F94A58"/>
    <w:rsid w:val="00F9526E"/>
    <w:rsid w:val="00F955EC"/>
    <w:rsid w:val="00F95B26"/>
    <w:rsid w:val="00F97516"/>
    <w:rsid w:val="00F97635"/>
    <w:rsid w:val="00F97BC8"/>
    <w:rsid w:val="00FA0125"/>
    <w:rsid w:val="00FA13EF"/>
    <w:rsid w:val="00FA1595"/>
    <w:rsid w:val="00FA15BB"/>
    <w:rsid w:val="00FA1EE4"/>
    <w:rsid w:val="00FA3691"/>
    <w:rsid w:val="00FA4A33"/>
    <w:rsid w:val="00FA4E28"/>
    <w:rsid w:val="00FA5798"/>
    <w:rsid w:val="00FA5AF2"/>
    <w:rsid w:val="00FA5CA5"/>
    <w:rsid w:val="00FB023C"/>
    <w:rsid w:val="00FB05C1"/>
    <w:rsid w:val="00FB08E0"/>
    <w:rsid w:val="00FB0F75"/>
    <w:rsid w:val="00FB1C99"/>
    <w:rsid w:val="00FB25EB"/>
    <w:rsid w:val="00FB301A"/>
    <w:rsid w:val="00FB3954"/>
    <w:rsid w:val="00FB3BFC"/>
    <w:rsid w:val="00FB44AA"/>
    <w:rsid w:val="00FB4861"/>
    <w:rsid w:val="00FB4941"/>
    <w:rsid w:val="00FB52E9"/>
    <w:rsid w:val="00FB53C0"/>
    <w:rsid w:val="00FB5E95"/>
    <w:rsid w:val="00FB600E"/>
    <w:rsid w:val="00FB6A68"/>
    <w:rsid w:val="00FB70D5"/>
    <w:rsid w:val="00FB7265"/>
    <w:rsid w:val="00FB7ECD"/>
    <w:rsid w:val="00FC0453"/>
    <w:rsid w:val="00FC05EF"/>
    <w:rsid w:val="00FC0E3B"/>
    <w:rsid w:val="00FC1036"/>
    <w:rsid w:val="00FC124A"/>
    <w:rsid w:val="00FC36FE"/>
    <w:rsid w:val="00FC3B8D"/>
    <w:rsid w:val="00FC3E72"/>
    <w:rsid w:val="00FC4EBB"/>
    <w:rsid w:val="00FC5022"/>
    <w:rsid w:val="00FC5659"/>
    <w:rsid w:val="00FC574A"/>
    <w:rsid w:val="00FC7B4B"/>
    <w:rsid w:val="00FC7BDB"/>
    <w:rsid w:val="00FD0B72"/>
    <w:rsid w:val="00FD0F9B"/>
    <w:rsid w:val="00FD12ED"/>
    <w:rsid w:val="00FD1E5A"/>
    <w:rsid w:val="00FD31A0"/>
    <w:rsid w:val="00FD37BB"/>
    <w:rsid w:val="00FD37C3"/>
    <w:rsid w:val="00FD39F7"/>
    <w:rsid w:val="00FD3C91"/>
    <w:rsid w:val="00FD51BA"/>
    <w:rsid w:val="00FD5664"/>
    <w:rsid w:val="00FD577E"/>
    <w:rsid w:val="00FD5ADB"/>
    <w:rsid w:val="00FD6E48"/>
    <w:rsid w:val="00FD78D0"/>
    <w:rsid w:val="00FE0097"/>
    <w:rsid w:val="00FE1787"/>
    <w:rsid w:val="00FE1875"/>
    <w:rsid w:val="00FE1FD3"/>
    <w:rsid w:val="00FE1FE0"/>
    <w:rsid w:val="00FE2039"/>
    <w:rsid w:val="00FE2091"/>
    <w:rsid w:val="00FE3652"/>
    <w:rsid w:val="00FE5685"/>
    <w:rsid w:val="00FE60E3"/>
    <w:rsid w:val="00FE6145"/>
    <w:rsid w:val="00FE6722"/>
    <w:rsid w:val="00FE7423"/>
    <w:rsid w:val="00FE750B"/>
    <w:rsid w:val="00FF0692"/>
    <w:rsid w:val="00FF0F55"/>
    <w:rsid w:val="00FF22D6"/>
    <w:rsid w:val="00FF2751"/>
    <w:rsid w:val="00FF27DD"/>
    <w:rsid w:val="00FF2F05"/>
    <w:rsid w:val="00FF2FFA"/>
    <w:rsid w:val="00FF3109"/>
    <w:rsid w:val="00FF3531"/>
    <w:rsid w:val="00FF44B0"/>
    <w:rsid w:val="00FF5192"/>
    <w:rsid w:val="00FF6412"/>
    <w:rsid w:val="00FF656C"/>
    <w:rsid w:val="00FF66F6"/>
    <w:rsid w:val="017C8F15"/>
    <w:rsid w:val="11F4C782"/>
    <w:rsid w:val="3B92FCEB"/>
    <w:rsid w:val="3E007A24"/>
    <w:rsid w:val="5192EE0E"/>
    <w:rsid w:val="584A5171"/>
    <w:rsid w:val="639E7503"/>
    <w:rsid w:val="63B23B55"/>
    <w:rsid w:val="6C44C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5E4F1"/>
  <w15:docId w15:val="{765BB874-DC85-4221-9F18-069732D6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16"/>
    <w:pPr>
      <w:spacing w:after="0" w:line="240" w:lineRule="auto"/>
    </w:pPr>
    <w:rPr>
      <w:rFonts w:ascii="Arial" w:hAnsi="Arial" w:cs="Arial"/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2F0901"/>
    <w:pPr>
      <w:keepNext/>
      <w:keepLines/>
      <w:numPr>
        <w:numId w:val="12"/>
      </w:numPr>
      <w:spacing w:after="120"/>
      <w:ind w:left="851" w:hanging="851"/>
      <w:outlineLvl w:val="0"/>
    </w:pPr>
    <w:rPr>
      <w:rFonts w:asciiTheme="majorHAnsi" w:eastAsiaTheme="majorEastAsia" w:hAnsiTheme="majorHAnsi" w:cstheme="majorHAnsi"/>
      <w:b/>
      <w:bCs/>
      <w:color w:val="009CE0"/>
      <w:sz w:val="36"/>
      <w:szCs w:val="28"/>
    </w:rPr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2F0901"/>
    <w:pPr>
      <w:numPr>
        <w:ilvl w:val="1"/>
      </w:numPr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C22B99"/>
    <w:pPr>
      <w:numPr>
        <w:ilvl w:val="0"/>
        <w:numId w:val="0"/>
      </w:numPr>
      <w:outlineLvl w:val="2"/>
    </w:pPr>
    <w:rPr>
      <w:szCs w:val="32"/>
    </w:rPr>
  </w:style>
  <w:style w:type="paragraph" w:styleId="Rubrik4">
    <w:name w:val="heading 4"/>
    <w:basedOn w:val="Rubrik5"/>
    <w:next w:val="Normal"/>
    <w:link w:val="Rubrik4Char"/>
    <w:uiPriority w:val="9"/>
    <w:unhideWhenUsed/>
    <w:qFormat/>
    <w:rsid w:val="006812C6"/>
    <w:pPr>
      <w:outlineLvl w:val="3"/>
    </w:pPr>
  </w:style>
  <w:style w:type="paragraph" w:styleId="Rubrik5">
    <w:name w:val="heading 5"/>
    <w:basedOn w:val="Normal"/>
    <w:next w:val="Normal"/>
    <w:link w:val="Rubrik5Char"/>
    <w:uiPriority w:val="9"/>
    <w:unhideWhenUsed/>
    <w:rsid w:val="002A6BF5"/>
    <w:pPr>
      <w:keepNext/>
      <w:keepLines/>
      <w:spacing w:before="200"/>
      <w:outlineLvl w:val="4"/>
    </w:pPr>
    <w:rPr>
      <w:rFonts w:asciiTheme="minorHAnsi" w:eastAsiaTheme="majorEastAsia" w:hAnsiTheme="minorHAnsi" w:cstheme="majorBidi"/>
      <w:i/>
      <w:color w:val="000000" w:themeColor="text1"/>
      <w:sz w:val="18"/>
    </w:rPr>
  </w:style>
  <w:style w:type="paragraph" w:styleId="Rubrik6">
    <w:name w:val="heading 6"/>
    <w:basedOn w:val="Normal"/>
    <w:next w:val="Normal"/>
    <w:link w:val="Rubrik6Char"/>
    <w:uiPriority w:val="9"/>
    <w:unhideWhenUsed/>
    <w:rsid w:val="000E159F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4E7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E159F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E159F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Rubrik9">
    <w:name w:val="heading 9"/>
    <w:basedOn w:val="Rubrik1"/>
    <w:next w:val="Normal"/>
    <w:link w:val="Rubrik9Char"/>
    <w:uiPriority w:val="9"/>
    <w:unhideWhenUsed/>
    <w:rsid w:val="00330526"/>
    <w:pPr>
      <w:outlineLvl w:val="8"/>
    </w:pPr>
    <w:rPr>
      <w:color w:val="000000" w:themeColor="text1"/>
      <w14:textFill>
        <w14:solidFill>
          <w14:schemeClr w14:val="tx1">
            <w14:lumMod w14:val="65000"/>
            <w14:lumOff w14:val="35000"/>
            <w14:lumMod w14:val="75000"/>
          </w14:schemeClr>
        </w14:solidFill>
      </w14:textFill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0901"/>
    <w:rPr>
      <w:rFonts w:asciiTheme="majorHAnsi" w:eastAsiaTheme="majorEastAsia" w:hAnsiTheme="majorHAnsi" w:cstheme="majorHAnsi"/>
      <w:b/>
      <w:bCs/>
      <w:color w:val="009CE0"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0901"/>
    <w:rPr>
      <w:rFonts w:asciiTheme="majorHAnsi" w:eastAsiaTheme="majorEastAsia" w:hAnsiTheme="majorHAnsi" w:cstheme="majorHAnsi"/>
      <w:b/>
      <w:bCs/>
      <w:color w:val="009CE0"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C22B99"/>
    <w:rPr>
      <w:rFonts w:asciiTheme="majorHAnsi" w:eastAsiaTheme="majorEastAsia" w:hAnsiTheme="majorHAnsi" w:cstheme="majorHAnsi"/>
      <w:b/>
      <w:bCs/>
      <w:color w:val="009CE0"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9"/>
    <w:rsid w:val="006812C6"/>
    <w:rPr>
      <w:rFonts w:eastAsiaTheme="majorEastAsia" w:cstheme="majorBidi"/>
      <w:i/>
      <w:color w:val="000000" w:themeColor="text1"/>
      <w:lang w:val="sv-SE"/>
    </w:rPr>
  </w:style>
  <w:style w:type="paragraph" w:customStyle="1" w:styleId="Ingress">
    <w:name w:val="Ingress"/>
    <w:basedOn w:val="Normal"/>
    <w:rsid w:val="006F4AC1"/>
    <w:rPr>
      <w:i/>
      <w:sz w:val="24"/>
    </w:rPr>
  </w:style>
  <w:style w:type="paragraph" w:styleId="Punktlista">
    <w:name w:val="List Bullet"/>
    <w:basedOn w:val="Normal"/>
    <w:uiPriority w:val="99"/>
    <w:unhideWhenUsed/>
    <w:qFormat/>
    <w:rsid w:val="00A059F3"/>
    <w:pPr>
      <w:numPr>
        <w:numId w:val="6"/>
      </w:numPr>
      <w:tabs>
        <w:tab w:val="left" w:pos="426"/>
      </w:tabs>
      <w:ind w:left="426" w:hanging="426"/>
    </w:pPr>
  </w:style>
  <w:style w:type="paragraph" w:styleId="Punktlista2">
    <w:name w:val="List Bullet 2"/>
    <w:basedOn w:val="Normal"/>
    <w:uiPriority w:val="99"/>
    <w:unhideWhenUsed/>
    <w:qFormat/>
    <w:rsid w:val="00815DDB"/>
    <w:pPr>
      <w:numPr>
        <w:numId w:val="7"/>
      </w:numPr>
      <w:tabs>
        <w:tab w:val="left" w:pos="567"/>
      </w:tabs>
      <w:ind w:left="568" w:hanging="284"/>
      <w:contextualSpacing/>
    </w:pPr>
  </w:style>
  <w:style w:type="paragraph" w:styleId="Numreradlista">
    <w:name w:val="List Number"/>
    <w:basedOn w:val="Normal"/>
    <w:uiPriority w:val="99"/>
    <w:unhideWhenUsed/>
    <w:qFormat/>
    <w:rsid w:val="00A059F3"/>
    <w:pPr>
      <w:numPr>
        <w:numId w:val="1"/>
      </w:numPr>
      <w:tabs>
        <w:tab w:val="left" w:pos="426"/>
      </w:tabs>
      <w:ind w:left="426" w:hanging="426"/>
    </w:pPr>
  </w:style>
  <w:style w:type="paragraph" w:styleId="Numreradlista2">
    <w:name w:val="List Number 2"/>
    <w:basedOn w:val="Normal"/>
    <w:uiPriority w:val="99"/>
    <w:unhideWhenUsed/>
    <w:qFormat/>
    <w:rsid w:val="00A059F3"/>
    <w:pPr>
      <w:numPr>
        <w:numId w:val="2"/>
      </w:numPr>
      <w:tabs>
        <w:tab w:val="left" w:pos="709"/>
      </w:tabs>
      <w:ind w:left="709" w:hanging="284"/>
      <w:contextualSpacing/>
    </w:pPr>
  </w:style>
  <w:style w:type="character" w:customStyle="1" w:styleId="MarkeringFet">
    <w:name w:val="Markering – Fet"/>
    <w:basedOn w:val="Standardstycketeckensnitt"/>
    <w:uiPriority w:val="1"/>
    <w:qFormat/>
    <w:rsid w:val="007C1F80"/>
    <w:rPr>
      <w:b/>
      <w:lang w:val="sv-SE"/>
    </w:rPr>
  </w:style>
  <w:style w:type="character" w:customStyle="1" w:styleId="MarkeringKursiv">
    <w:name w:val="Markering – Kursiv"/>
    <w:basedOn w:val="Standardstycketeckensnitt"/>
    <w:uiPriority w:val="1"/>
    <w:qFormat/>
    <w:rsid w:val="007C1F80"/>
    <w:rPr>
      <w:i/>
      <w:lang w:val="sv-SE"/>
    </w:rPr>
  </w:style>
  <w:style w:type="character" w:customStyle="1" w:styleId="MarkeringUnderstruken">
    <w:name w:val="Markering – Understruken"/>
    <w:basedOn w:val="Standardstycketeckensnitt"/>
    <w:uiPriority w:val="1"/>
    <w:qFormat/>
    <w:rsid w:val="007C1F80"/>
    <w:rPr>
      <w:u w:val="single"/>
      <w:lang w:val="sv-SE"/>
    </w:rPr>
  </w:style>
  <w:style w:type="character" w:customStyle="1" w:styleId="MarkeringFrg">
    <w:name w:val="Markering – Färg"/>
    <w:basedOn w:val="Standardstycketeckensnitt"/>
    <w:uiPriority w:val="1"/>
    <w:qFormat/>
    <w:rsid w:val="00E52113"/>
    <w:rPr>
      <w:color w:val="E6007E" w:themeColor="accent2"/>
      <w:lang w:val="sv-SE"/>
    </w:rPr>
  </w:style>
  <w:style w:type="character" w:styleId="Hyperlnk">
    <w:name w:val="Hyperlink"/>
    <w:basedOn w:val="Standardstycketeckensnitt"/>
    <w:uiPriority w:val="99"/>
    <w:unhideWhenUsed/>
    <w:rsid w:val="00E76740"/>
    <w:rPr>
      <w:color w:val="009FE4" w:themeColor="hyperlink"/>
      <w:u w:val="single"/>
      <w:lang w:val="sv-SE"/>
    </w:rPr>
  </w:style>
  <w:style w:type="paragraph" w:customStyle="1" w:styleId="Bildtext">
    <w:name w:val="Bildtext"/>
    <w:basedOn w:val="Normal"/>
    <w:rsid w:val="00895163"/>
    <w:rPr>
      <w:sz w:val="16"/>
    </w:rPr>
  </w:style>
  <w:style w:type="paragraph" w:styleId="Fotnotstext">
    <w:name w:val="footnote text"/>
    <w:basedOn w:val="Normal"/>
    <w:link w:val="FotnotstextChar"/>
    <w:uiPriority w:val="99"/>
    <w:unhideWhenUsed/>
    <w:rsid w:val="00815DDB"/>
    <w:pPr>
      <w:ind w:left="284" w:hanging="284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815DDB"/>
    <w:rPr>
      <w:rFonts w:ascii="Times New Roman" w:hAnsi="Times New Roman"/>
      <w:sz w:val="16"/>
      <w:szCs w:val="20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451458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451458"/>
    <w:rPr>
      <w:rFonts w:asciiTheme="majorHAnsi" w:hAnsiTheme="majorHAnsi"/>
      <w:sz w:val="16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DE59B4"/>
    <w:pPr>
      <w:tabs>
        <w:tab w:val="center" w:pos="4536"/>
        <w:tab w:val="right" w:pos="9072"/>
      </w:tabs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DE59B4"/>
    <w:rPr>
      <w:rFonts w:asciiTheme="majorHAnsi" w:hAnsiTheme="majorHAnsi"/>
      <w:sz w:val="16"/>
      <w:lang w:val="sv-SE"/>
    </w:rPr>
  </w:style>
  <w:style w:type="paragraph" w:styleId="Innehll1">
    <w:name w:val="toc 1"/>
    <w:basedOn w:val="Normal"/>
    <w:next w:val="Normal"/>
    <w:autoRedefine/>
    <w:uiPriority w:val="39"/>
    <w:unhideWhenUsed/>
    <w:rsid w:val="000C3C04"/>
    <w:pPr>
      <w:tabs>
        <w:tab w:val="left" w:pos="426"/>
        <w:tab w:val="right" w:leader="dot" w:pos="7088"/>
      </w:tabs>
      <w:spacing w:after="100"/>
      <w:ind w:left="426" w:right="849" w:hanging="426"/>
    </w:pPr>
    <w:rPr>
      <w:rFonts w:asciiTheme="majorHAnsi" w:eastAsiaTheme="minorEastAsia" w:hAnsiTheme="majorHAnsi"/>
      <w:noProof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3142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3142B"/>
    <w:rPr>
      <w:rFonts w:ascii="Tahoma" w:hAnsi="Tahoma" w:cs="Tahoma"/>
      <w:sz w:val="16"/>
      <w:szCs w:val="16"/>
      <w:lang w:val="sv-SE"/>
    </w:rPr>
  </w:style>
  <w:style w:type="character" w:styleId="Platshllartext">
    <w:name w:val="Placeholder Text"/>
    <w:basedOn w:val="Standardstycketeckensnitt"/>
    <w:uiPriority w:val="99"/>
    <w:semiHidden/>
    <w:rsid w:val="00380417"/>
    <w:rPr>
      <w:color w:val="808080"/>
      <w:lang w:val="sv-SE"/>
    </w:rPr>
  </w:style>
  <w:style w:type="paragraph" w:styleId="Datum">
    <w:name w:val="Date"/>
    <w:basedOn w:val="Normal"/>
    <w:next w:val="Normal"/>
    <w:link w:val="DatumChar"/>
    <w:uiPriority w:val="99"/>
    <w:unhideWhenUsed/>
    <w:rsid w:val="005A1A13"/>
    <w:pPr>
      <w:spacing w:after="480"/>
      <w:jc w:val="right"/>
    </w:pPr>
    <w:rPr>
      <w:color w:val="FFFFFF" w:themeColor="background1"/>
    </w:rPr>
  </w:style>
  <w:style w:type="character" w:customStyle="1" w:styleId="DatumChar">
    <w:name w:val="Datum Char"/>
    <w:basedOn w:val="Standardstycketeckensnitt"/>
    <w:link w:val="Datum"/>
    <w:uiPriority w:val="99"/>
    <w:rsid w:val="005A1A13"/>
    <w:rPr>
      <w:rFonts w:ascii="Times New Roman" w:hAnsi="Times New Roman"/>
      <w:color w:val="FFFFFF" w:themeColor="background1"/>
      <w:sz w:val="21"/>
      <w:lang w:val="sv-SE"/>
    </w:rPr>
  </w:style>
  <w:style w:type="table" w:styleId="Tabellrutnt">
    <w:name w:val="Table Grid"/>
    <w:basedOn w:val="Normaltabell"/>
    <w:uiPriority w:val="59"/>
    <w:rsid w:val="009E6FA0"/>
    <w:pPr>
      <w:spacing w:after="0" w:line="240" w:lineRule="auto"/>
    </w:pPr>
    <w:rPr>
      <w:rFonts w:ascii="Helvetica" w:hAnsi="Helvetica"/>
    </w:rPr>
    <w:tblPr/>
  </w:style>
  <w:style w:type="character" w:customStyle="1" w:styleId="DataBolag">
    <w:name w:val="Data – Bolag"/>
    <w:basedOn w:val="Standardstycketeckensnitt"/>
    <w:uiPriority w:val="1"/>
    <w:rsid w:val="002F421D"/>
    <w:rPr>
      <w:lang w:val="sv-SE"/>
    </w:rPr>
  </w:style>
  <w:style w:type="character" w:customStyle="1" w:styleId="DataBeslutadav">
    <w:name w:val="Data – Beslutad av"/>
    <w:basedOn w:val="Standardstycketeckensnitt"/>
    <w:uiPriority w:val="1"/>
    <w:rsid w:val="009E45B0"/>
    <w:rPr>
      <w:lang w:val="sv-SE"/>
    </w:rPr>
  </w:style>
  <w:style w:type="character" w:customStyle="1" w:styleId="DataFaststlld">
    <w:name w:val="Data – Fastställd"/>
    <w:basedOn w:val="DataBolag"/>
    <w:uiPriority w:val="1"/>
    <w:rsid w:val="007208BB"/>
    <w:rPr>
      <w:lang w:val="sv-SE"/>
    </w:rPr>
  </w:style>
  <w:style w:type="character" w:customStyle="1" w:styleId="DataTidigarefaststlld">
    <w:name w:val="Data – Tidigare fastställd"/>
    <w:basedOn w:val="DataBolag"/>
    <w:uiPriority w:val="1"/>
    <w:rsid w:val="007208BB"/>
    <w:rPr>
      <w:lang w:val="sv-SE"/>
    </w:rPr>
  </w:style>
  <w:style w:type="paragraph" w:styleId="Innehll2">
    <w:name w:val="toc 2"/>
    <w:basedOn w:val="Normal"/>
    <w:next w:val="Normal"/>
    <w:autoRedefine/>
    <w:uiPriority w:val="39"/>
    <w:unhideWhenUsed/>
    <w:rsid w:val="00901C33"/>
    <w:pPr>
      <w:tabs>
        <w:tab w:val="left" w:pos="851"/>
        <w:tab w:val="right" w:leader="dot" w:pos="7088"/>
      </w:tabs>
      <w:spacing w:after="100"/>
      <w:ind w:left="851" w:right="849" w:hanging="425"/>
    </w:pPr>
    <w:rPr>
      <w:noProof/>
    </w:rPr>
  </w:style>
  <w:style w:type="character" w:customStyle="1" w:styleId="DataGllerfrom">
    <w:name w:val="Data – Gäller fr.o.m."/>
    <w:basedOn w:val="DataBolag"/>
    <w:uiPriority w:val="1"/>
    <w:rsid w:val="007208BB"/>
    <w:rPr>
      <w:lang w:val="sv-SE"/>
    </w:rPr>
  </w:style>
  <w:style w:type="paragraph" w:customStyle="1" w:styleId="DataRegelverksgare">
    <w:name w:val="Data – Regelverksägare"/>
    <w:basedOn w:val="Normal"/>
    <w:rsid w:val="004342EA"/>
  </w:style>
  <w:style w:type="character" w:customStyle="1" w:styleId="DataRegelverksspecialist">
    <w:name w:val="Data – Regelverksspecialist"/>
    <w:basedOn w:val="DataFaststlld"/>
    <w:uiPriority w:val="1"/>
    <w:rsid w:val="007208BB"/>
    <w:rPr>
      <w:lang w:val="sv-SE"/>
    </w:rPr>
  </w:style>
  <w:style w:type="character" w:customStyle="1" w:styleId="DataInformationsklass">
    <w:name w:val="Data – Informationsklass"/>
    <w:basedOn w:val="DataBolag"/>
    <w:uiPriority w:val="1"/>
    <w:rsid w:val="007208BB"/>
    <w:rPr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rsid w:val="00330526"/>
    <w:rPr>
      <w:rFonts w:asciiTheme="majorHAnsi" w:eastAsiaTheme="majorEastAsia" w:hAnsiTheme="majorHAnsi" w:cstheme="majorHAnsi"/>
      <w:b/>
      <w:bCs/>
      <w:color w:val="000000" w:themeColor="text1"/>
      <w:sz w:val="36"/>
      <w:szCs w:val="28"/>
      <w14:textFill>
        <w14:solidFill>
          <w14:schemeClr w14:val="tx1">
            <w14:lumMod w14:val="65000"/>
            <w14:lumOff w14:val="35000"/>
            <w14:lumMod w14:val="75000"/>
          </w14:schemeClr>
        </w14:solidFill>
      </w14:textFill>
    </w:rPr>
  </w:style>
  <w:style w:type="table" w:customStyle="1" w:styleId="Tabell01">
    <w:name w:val="Tabell 01"/>
    <w:basedOn w:val="Tabellrutnt"/>
    <w:uiPriority w:val="99"/>
    <w:qFormat/>
    <w:rsid w:val="00752D82"/>
    <w:tblPr>
      <w:tblBorders>
        <w:top w:val="single" w:sz="4" w:space="0" w:color="009FE4" w:themeColor="accent1"/>
        <w:left w:val="single" w:sz="4" w:space="0" w:color="009FE4" w:themeColor="accent1"/>
        <w:bottom w:val="single" w:sz="4" w:space="0" w:color="009FE4" w:themeColor="accent1"/>
        <w:right w:val="single" w:sz="4" w:space="0" w:color="009FE4" w:themeColor="accent1"/>
        <w:insideH w:val="single" w:sz="4" w:space="0" w:color="009FE4" w:themeColor="accent1"/>
        <w:insideV w:val="single" w:sz="4" w:space="0" w:color="009FE4" w:themeColor="accent1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rFonts w:asciiTheme="majorHAnsi" w:hAnsiTheme="majorHAnsi"/>
        <w:b/>
      </w:rPr>
      <w:tblPr/>
      <w:tcPr>
        <w:tcBorders>
          <w:bottom w:val="single" w:sz="4" w:space="0" w:color="009FE4" w:themeColor="accent1"/>
        </w:tcBorders>
        <w:vAlign w:val="bottom"/>
      </w:tcPr>
    </w:tblStylePr>
    <w:tblStylePr w:type="lastRow">
      <w:rPr>
        <w:b/>
      </w:rPr>
      <w:tblPr/>
      <w:tcPr>
        <w:tcBorders>
          <w:top w:val="single" w:sz="4" w:space="0" w:color="009FE4" w:themeColor="accent1"/>
        </w:tcBorders>
      </w:tcPr>
    </w:tblStylePr>
    <w:tblStylePr w:type="firstCol">
      <w:pPr>
        <w:jc w:val="left"/>
      </w:pPr>
    </w:tblStylePr>
  </w:style>
  <w:style w:type="table" w:styleId="Ljuslista-dekorfrg2">
    <w:name w:val="Light List Accent 2"/>
    <w:basedOn w:val="Normaltabell"/>
    <w:uiPriority w:val="61"/>
    <w:rsid w:val="00F90540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E6007E" w:themeColor="accent2"/>
        <w:left w:val="single" w:sz="8" w:space="0" w:color="E6007E" w:themeColor="accent2"/>
        <w:bottom w:val="single" w:sz="8" w:space="0" w:color="E6007E" w:themeColor="accent2"/>
        <w:right w:val="single" w:sz="8" w:space="0" w:color="E6007E" w:themeColor="accent2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007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</w:tcBorders>
      </w:tcPr>
    </w:tblStylePr>
  </w:style>
  <w:style w:type="table" w:styleId="Ljuslista-dekorfrg5">
    <w:name w:val="Light List Accent 5"/>
    <w:basedOn w:val="Normaltabell"/>
    <w:uiPriority w:val="61"/>
    <w:rsid w:val="00F90540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E9F88E" w:themeColor="accent5"/>
        <w:left w:val="single" w:sz="8" w:space="0" w:color="E9F88E" w:themeColor="accent5"/>
        <w:bottom w:val="single" w:sz="8" w:space="0" w:color="E9F88E" w:themeColor="accent5"/>
        <w:right w:val="single" w:sz="8" w:space="0" w:color="E9F88E" w:themeColor="accent5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F88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</w:tcBorders>
      </w:tcPr>
    </w:tblStylePr>
  </w:style>
  <w:style w:type="paragraph" w:customStyle="1" w:styleId="TabelltextA">
    <w:name w:val="Tabelltext A"/>
    <w:basedOn w:val="Normal"/>
    <w:qFormat/>
    <w:rsid w:val="005A754F"/>
    <w:rPr>
      <w:rFonts w:asciiTheme="majorHAnsi" w:hAnsiTheme="majorHAnsi"/>
      <w:bCs/>
      <w:sz w:val="18"/>
    </w:rPr>
  </w:style>
  <w:style w:type="paragraph" w:customStyle="1" w:styleId="Tabellrubrik">
    <w:name w:val="Tabellrubrik"/>
    <w:basedOn w:val="TabelltextA"/>
    <w:qFormat/>
    <w:rsid w:val="00270BD5"/>
    <w:rPr>
      <w:b/>
      <w:bCs w:val="0"/>
    </w:rPr>
  </w:style>
  <w:style w:type="paragraph" w:customStyle="1" w:styleId="TabellrubrikVit">
    <w:name w:val="Tabellrubrik – Vit"/>
    <w:basedOn w:val="Tabellrubrik"/>
    <w:rsid w:val="000A154E"/>
    <w:rPr>
      <w:bCs/>
      <w:color w:val="FFFFFF" w:themeColor="background1"/>
    </w:rPr>
  </w:style>
  <w:style w:type="paragraph" w:customStyle="1" w:styleId="TabelltextVit">
    <w:name w:val="Tabelltext – Vit"/>
    <w:basedOn w:val="TabelltextA"/>
    <w:rsid w:val="000A154E"/>
    <w:rPr>
      <w:bCs w:val="0"/>
      <w:color w:val="FFFFFF" w:themeColor="background1"/>
    </w:rPr>
  </w:style>
  <w:style w:type="paragraph" w:customStyle="1" w:styleId="TabelltextRosa">
    <w:name w:val="Tabelltext – Rosa"/>
    <w:basedOn w:val="TabelltextVit"/>
    <w:rsid w:val="008C0536"/>
    <w:pPr>
      <w:shd w:val="clear" w:color="auto" w:fill="E6007E" w:themeFill="accent2"/>
      <w:jc w:val="right"/>
    </w:pPr>
    <w:rPr>
      <w:b/>
      <w:bCs/>
    </w:rPr>
  </w:style>
  <w:style w:type="table" w:styleId="Tabellrutnt1">
    <w:name w:val="Table Grid 1"/>
    <w:basedOn w:val="Normaltabell"/>
    <w:uiPriority w:val="99"/>
    <w:semiHidden/>
    <w:unhideWhenUsed/>
    <w:rsid w:val="009E6FA0"/>
    <w:pPr>
      <w:spacing w:line="264" w:lineRule="auto"/>
      <w:jc w:val="right"/>
    </w:pPr>
    <w:rPr>
      <w:rFonts w:ascii="Helvetica" w:hAnsi="Helvetica"/>
    </w:rPr>
    <w:tblPr/>
    <w:tcPr>
      <w:shd w:val="clear" w:color="auto" w:fill="auto"/>
    </w:tcPr>
    <w:tblStylePr w:type="firstRow">
      <w:pPr>
        <w:jc w:val="right"/>
      </w:pPr>
      <w:rPr>
        <w:b/>
      </w:rPr>
      <w:tblPr/>
      <w:tcPr>
        <w:tcBorders>
          <w:bottom w:val="single" w:sz="4" w:space="0" w:color="auto"/>
        </w:tcBorders>
        <w:vAlign w:val="bottom"/>
      </w:tcPr>
    </w:tblStylePr>
    <w:tblStylePr w:type="lastRow">
      <w:rPr>
        <w:b/>
        <w:i w:val="0"/>
        <w:iCs/>
      </w:rPr>
      <w:tblPr/>
      <w:tcPr>
        <w:tcBorders>
          <w:top w:val="single" w:sz="4" w:space="0" w:color="auto"/>
        </w:tcBorders>
        <w:shd w:val="clear" w:color="auto" w:fill="auto"/>
      </w:tcPr>
    </w:tblStylePr>
    <w:tblStylePr w:type="firstCol">
      <w:pPr>
        <w:jc w:val="left"/>
      </w:p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jusskuggning-dekorfrg2">
    <w:name w:val="Light Shading Accent 2"/>
    <w:basedOn w:val="Normaltabell"/>
    <w:uiPriority w:val="60"/>
    <w:rsid w:val="0097001C"/>
    <w:pPr>
      <w:spacing w:after="0" w:line="240" w:lineRule="auto"/>
      <w:jc w:val="right"/>
    </w:pPr>
    <w:rPr>
      <w:rFonts w:ascii="Helvetica" w:hAnsi="Helvetica"/>
    </w:rPr>
    <w:tblPr>
      <w:tblStyleRowBandSize w:val="1"/>
      <w:tblStyleColBandSize w:val="1"/>
      <w:tblBorders>
        <w:top w:val="single" w:sz="8" w:space="0" w:color="484848" w:themeColor="text2" w:themeShade="80"/>
        <w:bottom w:val="single" w:sz="8" w:space="0" w:color="484848" w:themeColor="text2" w:themeShade="80"/>
      </w:tblBorders>
      <w:tblCellMar>
        <w:top w:w="28" w:type="dxa"/>
        <w:left w:w="57" w:type="dxa"/>
        <w:right w:w="57" w:type="dxa"/>
      </w:tblCellMar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single" w:sz="8" w:space="0" w:color="484848" w:themeColor="text2" w:themeShade="80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4848" w:themeColor="text2" w:themeShade="80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  <w:tblPr/>
      <w:tcPr>
        <w:shd w:val="clear" w:color="auto" w:fill="auto"/>
      </w:tcPr>
    </w:tblStylePr>
    <w:tblStylePr w:type="band1Vert">
      <w:tblPr/>
      <w:tcPr>
        <w:shd w:val="clear" w:color="auto" w:fill="E6007E" w:themeFill="accent2"/>
      </w:tcPr>
    </w:tblStylePr>
    <w:tblStylePr w:type="band1Horz">
      <w:tblPr/>
      <w:tcPr>
        <w:shd w:val="clear" w:color="auto" w:fill="E6007E" w:themeFill="accent2"/>
      </w:tcPr>
    </w:tblStylePr>
  </w:style>
  <w:style w:type="character" w:styleId="AnvndHyperlnk">
    <w:name w:val="FollowedHyperlink"/>
    <w:basedOn w:val="Standardstycketeckensnitt"/>
    <w:uiPriority w:val="99"/>
    <w:semiHidden/>
    <w:unhideWhenUsed/>
    <w:rsid w:val="00AE49F0"/>
    <w:rPr>
      <w:color w:val="E6007E" w:themeColor="followedHyperlink"/>
      <w:u w:val="single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rsid w:val="002A6BF5"/>
    <w:rPr>
      <w:rFonts w:eastAsiaTheme="majorEastAsia" w:cstheme="majorBidi"/>
      <w:i/>
      <w:color w:val="000000" w:themeColor="text1"/>
      <w:lang w:val="sv-SE"/>
    </w:rPr>
  </w:style>
  <w:style w:type="paragraph" w:styleId="Innehll3">
    <w:name w:val="toc 3"/>
    <w:basedOn w:val="Normal"/>
    <w:next w:val="Normal"/>
    <w:autoRedefine/>
    <w:uiPriority w:val="39"/>
    <w:unhideWhenUsed/>
    <w:rsid w:val="00BE6625"/>
    <w:pPr>
      <w:tabs>
        <w:tab w:val="left" w:pos="1418"/>
        <w:tab w:val="right" w:leader="dot" w:pos="7088"/>
      </w:tabs>
      <w:spacing w:after="100"/>
      <w:ind w:left="1418" w:right="849" w:hanging="567"/>
    </w:pPr>
    <w:rPr>
      <w:noProof/>
    </w:rPr>
  </w:style>
  <w:style w:type="paragraph" w:styleId="Innehll4">
    <w:name w:val="toc 4"/>
    <w:basedOn w:val="Normal"/>
    <w:next w:val="Normal"/>
    <w:autoRedefine/>
    <w:uiPriority w:val="39"/>
    <w:unhideWhenUsed/>
    <w:rsid w:val="00BE6625"/>
    <w:pPr>
      <w:tabs>
        <w:tab w:val="left" w:pos="2268"/>
        <w:tab w:val="right" w:leader="dot" w:pos="7088"/>
      </w:tabs>
      <w:spacing w:after="100"/>
      <w:ind w:left="2268" w:right="849" w:hanging="850"/>
    </w:pPr>
  </w:style>
  <w:style w:type="character" w:customStyle="1" w:styleId="Rubrik6Char">
    <w:name w:val="Rubrik 6 Char"/>
    <w:basedOn w:val="Standardstycketeckensnitt"/>
    <w:link w:val="Rubrik6"/>
    <w:uiPriority w:val="9"/>
    <w:rsid w:val="000E159F"/>
    <w:rPr>
      <w:rFonts w:asciiTheme="majorHAnsi" w:eastAsiaTheme="majorEastAsia" w:hAnsiTheme="majorHAnsi" w:cstheme="majorBidi"/>
      <w:i/>
      <w:iCs/>
      <w:color w:val="004E71" w:themeColor="accent1" w:themeShade="7F"/>
      <w:sz w:val="22"/>
      <w:szCs w:val="22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E159F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E159F"/>
    <w:rPr>
      <w:rFonts w:asciiTheme="majorHAnsi" w:eastAsiaTheme="majorEastAsia" w:hAnsiTheme="majorHAnsi" w:cstheme="majorBidi"/>
      <w:color w:val="404040" w:themeColor="text1" w:themeTint="BF"/>
      <w:sz w:val="22"/>
      <w:szCs w:val="20"/>
    </w:rPr>
  </w:style>
  <w:style w:type="paragraph" w:customStyle="1" w:styleId="Titelrubrik">
    <w:name w:val="Titelrubrik"/>
    <w:basedOn w:val="Normal"/>
    <w:qFormat/>
    <w:rsid w:val="00C22B99"/>
    <w:pPr>
      <w:spacing w:after="160"/>
      <w:contextualSpacing/>
      <w:jc w:val="center"/>
    </w:pPr>
    <w:rPr>
      <w:rFonts w:asciiTheme="majorHAnsi" w:eastAsiaTheme="majorEastAsia" w:hAnsiTheme="majorHAnsi" w:cstheme="majorBidi"/>
      <w:b/>
      <w:color w:val="009CE0"/>
      <w:spacing w:val="5"/>
      <w:kern w:val="28"/>
      <w:sz w:val="52"/>
      <w:szCs w:val="52"/>
    </w:rPr>
  </w:style>
  <w:style w:type="table" w:customStyle="1" w:styleId="Ljusskuggning-dekorfrg11">
    <w:name w:val="Ljus skuggning - dekorfärg 11"/>
    <w:basedOn w:val="Normaltabell"/>
    <w:uiPriority w:val="60"/>
    <w:rsid w:val="00BA399F"/>
    <w:pPr>
      <w:spacing w:after="0" w:line="240" w:lineRule="auto"/>
      <w:jc w:val="right"/>
    </w:pPr>
    <w:rPr>
      <w:rFonts w:ascii="Helvetica" w:hAnsi="Helvetica"/>
      <w:sz w:val="20"/>
      <w:szCs w:val="22"/>
    </w:rPr>
    <w:tblPr>
      <w:tblStyleRowBandSize w:val="1"/>
      <w:tblStyleColBandSize w:val="1"/>
    </w:tblPr>
    <w:tcPr>
      <w:tcBorders>
        <w:top w:val="single" w:sz="8" w:space="0" w:color="484848" w:themeColor="text2" w:themeShade="80"/>
        <w:left w:val="nil"/>
        <w:bottom w:val="nil"/>
        <w:right w:val="nil"/>
      </w:tcBorders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nil"/>
          <w:left w:val="nil"/>
          <w:bottom w:val="single" w:sz="8" w:space="0" w:color="484848" w:themeColor="text2" w:themeShade="80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pPr>
        <w:jc w:val="left"/>
      </w:pPr>
      <w:rPr>
        <w:b w:val="0"/>
        <w:bCs/>
      </w:rPr>
    </w:tblStylePr>
    <w:tblStylePr w:type="lastCol">
      <w:rPr>
        <w:b/>
        <w:bCs/>
      </w:rPr>
    </w:tblStylePr>
  </w:style>
  <w:style w:type="paragraph" w:customStyle="1" w:styleId="TabelltextB">
    <w:name w:val="Tabelltext B"/>
    <w:basedOn w:val="TabelltextA"/>
    <w:qFormat/>
    <w:rsid w:val="006D76E8"/>
    <w:rPr>
      <w:rFonts w:asciiTheme="minorHAnsi" w:hAnsiTheme="minorHAnsi"/>
      <w:sz w:val="20"/>
    </w:rPr>
  </w:style>
  <w:style w:type="paragraph" w:customStyle="1" w:styleId="Space">
    <w:name w:val="Space"/>
    <w:basedOn w:val="Sidhuvud"/>
    <w:qFormat/>
    <w:rsid w:val="00655E29"/>
    <w:rPr>
      <w:szCs w:val="16"/>
    </w:rPr>
  </w:style>
  <w:style w:type="character" w:styleId="Betoning">
    <w:name w:val="Emphasis"/>
    <w:basedOn w:val="Standardstycketeckensnitt"/>
    <w:uiPriority w:val="20"/>
    <w:rsid w:val="00AA7512"/>
    <w:rPr>
      <w:i/>
      <w:iCs/>
      <w:lang w:val="sv-SE"/>
    </w:rPr>
  </w:style>
  <w:style w:type="character" w:styleId="Starkbetoning">
    <w:name w:val="Intense Emphasis"/>
    <w:basedOn w:val="Standardstycketeckensnitt"/>
    <w:uiPriority w:val="21"/>
    <w:rsid w:val="00AA7512"/>
    <w:rPr>
      <w:i/>
      <w:iCs/>
      <w:color w:val="009FE4" w:themeColor="accent1"/>
      <w:lang w:val="sv-SE"/>
    </w:rPr>
  </w:style>
  <w:style w:type="character" w:styleId="Stark">
    <w:name w:val="Strong"/>
    <w:basedOn w:val="Standardstycketeckensnitt"/>
    <w:uiPriority w:val="22"/>
    <w:rsid w:val="00AA7512"/>
    <w:rPr>
      <w:b/>
      <w:bCs/>
      <w:lang w:val="sv-SE"/>
    </w:rPr>
  </w:style>
  <w:style w:type="paragraph" w:styleId="Citat">
    <w:name w:val="Quote"/>
    <w:basedOn w:val="Normal"/>
    <w:next w:val="Normal"/>
    <w:link w:val="CitatChar"/>
    <w:uiPriority w:val="29"/>
    <w:rsid w:val="00AA751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7512"/>
    <w:rPr>
      <w:rFonts w:ascii="Times New Roman" w:hAnsi="Times New Roman"/>
      <w:i/>
      <w:iCs/>
      <w:color w:val="404040" w:themeColor="text1" w:themeTint="BF"/>
      <w:sz w:val="21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rsid w:val="00AA7512"/>
    <w:pPr>
      <w:pBdr>
        <w:top w:val="single" w:sz="4" w:space="10" w:color="009FE4" w:themeColor="accent1"/>
        <w:bottom w:val="single" w:sz="4" w:space="10" w:color="009FE4" w:themeColor="accent1"/>
      </w:pBdr>
      <w:spacing w:before="360" w:after="360"/>
      <w:ind w:left="864" w:right="864"/>
      <w:jc w:val="center"/>
    </w:pPr>
    <w:rPr>
      <w:i/>
      <w:iCs/>
      <w:color w:val="009FE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7512"/>
    <w:rPr>
      <w:rFonts w:ascii="Times New Roman" w:hAnsi="Times New Roman"/>
      <w:i/>
      <w:iCs/>
      <w:color w:val="009FE4" w:themeColor="accent1"/>
      <w:sz w:val="21"/>
      <w:lang w:val="sv-SE"/>
    </w:rPr>
  </w:style>
  <w:style w:type="character" w:styleId="Diskretbetoning">
    <w:name w:val="Subtle Emphasis"/>
    <w:basedOn w:val="Standardstycketeckensnitt"/>
    <w:uiPriority w:val="19"/>
    <w:rsid w:val="00AA7512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rsid w:val="00AA7512"/>
    <w:rPr>
      <w:smallCaps/>
      <w:color w:val="5A5A5A" w:themeColor="text1" w:themeTint="A5"/>
      <w:lang w:val="sv-SE"/>
    </w:rPr>
  </w:style>
  <w:style w:type="character" w:styleId="Bokenstitel">
    <w:name w:val="Book Title"/>
    <w:basedOn w:val="Standardstycketeckensnitt"/>
    <w:uiPriority w:val="33"/>
    <w:rsid w:val="00AA7512"/>
    <w:rPr>
      <w:b/>
      <w:bCs/>
      <w:i/>
      <w:iCs/>
      <w:spacing w:val="5"/>
      <w:lang w:val="sv-SE"/>
    </w:rPr>
  </w:style>
  <w:style w:type="paragraph" w:styleId="Liststycke">
    <w:name w:val="List Paragraph"/>
    <w:basedOn w:val="Normal"/>
    <w:uiPriority w:val="34"/>
    <w:qFormat/>
    <w:rsid w:val="00AA7512"/>
    <w:pPr>
      <w:ind w:left="720"/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A75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7512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styleId="Starkreferens">
    <w:name w:val="Intense Reference"/>
    <w:basedOn w:val="Standardstycketeckensnitt"/>
    <w:uiPriority w:val="32"/>
    <w:rsid w:val="00AA7512"/>
    <w:rPr>
      <w:b/>
      <w:bCs/>
      <w:smallCaps/>
      <w:color w:val="009FE4" w:themeColor="accent1"/>
      <w:spacing w:val="5"/>
      <w:lang w:val="sv-SE"/>
    </w:rPr>
  </w:style>
  <w:style w:type="paragraph" w:styleId="Adress-brev">
    <w:name w:val="envelope address"/>
    <w:basedOn w:val="Normal"/>
    <w:uiPriority w:val="99"/>
    <w:semiHidden/>
    <w:unhideWhenUsed/>
    <w:rsid w:val="00CE3468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E3468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E3468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Avsndaradress-brev">
    <w:name w:val="envelope return"/>
    <w:basedOn w:val="Normal"/>
    <w:uiPriority w:val="99"/>
    <w:semiHidden/>
    <w:unhideWhenUsed/>
    <w:rsid w:val="00CE3468"/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CE3468"/>
    <w:rPr>
      <w:i/>
      <w:iCs/>
      <w:color w:val="919191" w:themeColor="text2"/>
      <w:sz w:val="18"/>
    </w:rPr>
  </w:style>
  <w:style w:type="paragraph" w:styleId="Brdtext">
    <w:name w:val="Body Text"/>
    <w:basedOn w:val="Normal"/>
    <w:link w:val="BrdtextChar"/>
    <w:uiPriority w:val="99"/>
    <w:unhideWhenUsed/>
    <w:rsid w:val="00CE3468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CE3468"/>
    <w:rPr>
      <w:rFonts w:ascii="Times New Roman" w:hAnsi="Times New Roman"/>
      <w:sz w:val="21"/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E3468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CE3468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E3468"/>
    <w:rPr>
      <w:rFonts w:ascii="Times New Roman" w:hAnsi="Times New Roman"/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E3468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CE3468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E3468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E3468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E3468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E3468"/>
    <w:rPr>
      <w:rFonts w:ascii="Times New Roman" w:hAnsi="Times New Roman"/>
      <w:sz w:val="16"/>
      <w:szCs w:val="16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E3468"/>
    <w:pPr>
      <w:ind w:left="210" w:hanging="21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E346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Diskrettabell1">
    <w:name w:val="Table Subtle 1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E3468"/>
    <w:pPr>
      <w:spacing w:line="240" w:lineRule="auto"/>
    </w:pPr>
    <w:tblPr/>
    <w:tcPr>
      <w:tcBorders>
        <w:top w:val="single" w:sz="12" w:space="0" w:color="000000"/>
        <w:left w:val="single" w:sz="12" w:space="0" w:color="000000"/>
      </w:tcBorders>
      <w:shd w:val="pct25" w:color="808000" w:fill="FFFFFF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E3468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E3468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caps/>
        <w:color w:val="auto"/>
      </w:rPr>
    </w:tblStylePr>
  </w:style>
  <w:style w:type="table" w:styleId="Enkeltabell1">
    <w:name w:val="Table Simple 1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b/>
        <w:bCs/>
      </w:rPr>
    </w:tblStylePr>
    <w:tblStylePr w:type="lastRow">
      <w:rPr>
        <w:b/>
        <w:bCs/>
        <w:color w:val="auto"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Enkeltabell3">
    <w:name w:val="Table Simple 3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E3468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CE3468"/>
  </w:style>
  <w:style w:type="character" w:styleId="Fotnotsreferens">
    <w:name w:val="footnote reference"/>
    <w:basedOn w:val="Standardstycketeckensnitt"/>
    <w:uiPriority w:val="99"/>
    <w:semiHidden/>
    <w:unhideWhenUsed/>
    <w:rsid w:val="00CE3468"/>
    <w:rPr>
      <w:vertAlign w:val="superscript"/>
      <w:lang w:val="sv-SE"/>
    </w:rPr>
  </w:style>
  <w:style w:type="table" w:styleId="Frgadlista">
    <w:name w:val="Colorful List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064" w:themeFill="accent2" w:themeFillShade="CC"/>
      </w:tcPr>
    </w:tblStylePr>
    <w:tblStylePr w:type="lastRow">
      <w:rPr>
        <w:b/>
        <w:bCs/>
        <w:color w:val="B800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064" w:themeFill="accent2" w:themeFillShade="CC"/>
      </w:tcPr>
    </w:tblStylePr>
    <w:tblStylePr w:type="lastRow">
      <w:rPr>
        <w:b/>
        <w:bCs/>
        <w:color w:val="B800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3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0064" w:themeFill="accent2" w:themeFillShade="CC"/>
      </w:tcPr>
    </w:tblStylePr>
    <w:tblStylePr w:type="lastRow">
      <w:rPr>
        <w:b/>
        <w:bCs/>
        <w:color w:val="B8006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9DF" w:themeFill="accent2" w:themeFillTint="3F"/>
      </w:tcPr>
    </w:tblStylePr>
    <w:tblStylePr w:type="band1Horz">
      <w:tblPr/>
      <w:tcPr>
        <w:shd w:val="clear" w:color="auto" w:fill="FFC7E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00" w:themeFill="accent4" w:themeFillShade="CC"/>
      </w:tcPr>
    </w:tblStylePr>
    <w:tblStylePr w:type="lastRow">
      <w:rPr>
        <w:b/>
        <w:bCs/>
        <w:color w:val="CCA3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B9" w:themeFill="accent3" w:themeFillTint="3F"/>
      </w:tcPr>
    </w:tblStylePr>
    <w:tblStylePr w:type="band1Horz">
      <w:tblPr/>
      <w:tcPr>
        <w:shd w:val="clear" w:color="auto" w:fill="F4FCC6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CA208" w:themeFill="accent3" w:themeFillShade="CC"/>
      </w:tcPr>
    </w:tblStylePr>
    <w:tblStylePr w:type="lastRow">
      <w:rPr>
        <w:b/>
        <w:bCs/>
        <w:color w:val="8CA20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0" w:themeFill="accent4" w:themeFillTint="3F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EF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7474" w:themeFill="accent6" w:themeFillShade="CC"/>
      </w:tcPr>
    </w:tblStylePr>
    <w:tblStylePr w:type="lastRow">
      <w:rPr>
        <w:b/>
        <w:bCs/>
        <w:color w:val="74747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DE3" w:themeFill="accent5" w:themeFillTint="3F"/>
      </w:tcPr>
    </w:tblStylePr>
    <w:tblStylePr w:type="band1Horz">
      <w:tblPr/>
      <w:tcPr>
        <w:shd w:val="clear" w:color="auto" w:fill="FAFDE8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AF344" w:themeFill="accent5" w:themeFillShade="CC"/>
      </w:tcPr>
    </w:tblStylePr>
    <w:tblStylePr w:type="lastRow">
      <w:rPr>
        <w:b/>
        <w:bCs/>
        <w:color w:val="DAF34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3" w:themeFill="accent6" w:themeFillTint="3F"/>
      </w:tcPr>
    </w:tblStylePr>
    <w:tblStylePr w:type="band1Horz">
      <w:tblPr/>
      <w:tcPr>
        <w:shd w:val="clear" w:color="auto" w:fill="E9E9E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007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3F6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007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8" w:themeColor="accent1" w:themeShade="99"/>
          <w:insideV w:val="nil"/>
        </w:tcBorders>
        <w:shd w:val="clear" w:color="auto" w:fill="005E88" w:themeFill="accent1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E3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007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004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004B" w:themeColor="accent2" w:themeShade="99"/>
          <w:insideV w:val="nil"/>
        </w:tcBorders>
        <w:shd w:val="clear" w:color="auto" w:fill="8A004B" w:themeFill="accent2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9FD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9790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97906" w:themeColor="accent3" w:themeShade="99"/>
          <w:insideV w:val="nil"/>
        </w:tcBorders>
        <w:shd w:val="clear" w:color="auto" w:fill="697906" w:themeFill="accent3" w:themeFillShade="99"/>
      </w:tcPr>
    </w:tblStylePr>
    <w:tblStylePr w:type="lastCol">
      <w:rPr>
        <w:color w:val="FFFFFF" w:themeColor="background1"/>
      </w:r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FA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0CB0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00" w:themeColor="accent4" w:themeShade="99"/>
          <w:insideV w:val="nil"/>
        </w:tcBorders>
        <w:shd w:val="clear" w:color="auto" w:fill="997A00" w:themeFill="accent4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CFEF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91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EDC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EDC0D" w:themeColor="accent5" w:themeShade="99"/>
          <w:insideV w:val="nil"/>
        </w:tcBorders>
        <w:shd w:val="clear" w:color="auto" w:fill="BEDC0D" w:themeFill="accent5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4F4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F8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575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5757" w:themeColor="accent6" w:themeShade="99"/>
          <w:insideV w:val="nil"/>
        </w:tcBorders>
        <w:shd w:val="clear" w:color="auto" w:fill="575757" w:themeFill="accent6" w:themeFillShade="99"/>
      </w:tcPr>
    </w:tblStylePr>
    <w:tblStylePr w:type="lastCol">
      <w:rPr>
        <w:color w:val="FFFFFF" w:themeColor="background1"/>
      </w:r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E3468"/>
    <w:pPr>
      <w:spacing w:line="240" w:lineRule="auto"/>
    </w:pPr>
    <w:rPr>
      <w:color w:val="FFFFFF"/>
    </w:rPr>
    <w:tblPr/>
    <w:tblStylePr w:type="firstRow">
      <w:rPr>
        <w:b/>
        <w:bCs/>
        <w:i/>
        <w:iCs/>
      </w:rPr>
    </w:tblStylePr>
    <w:tblStylePr w:type="firstCol">
      <w:rPr>
        <w:b/>
        <w:bCs/>
        <w:i/>
        <w:iCs/>
      </w:rPr>
    </w:tblStylePr>
    <w:tblStylePr w:type="swCell">
      <w:rPr>
        <w:b/>
        <w:bCs/>
        <w:i w:val="0"/>
        <w:iCs w:val="0"/>
      </w:rPr>
    </w:tblStylePr>
  </w:style>
  <w:style w:type="table" w:styleId="Frgadtabell2">
    <w:name w:val="Table Colorful 2"/>
    <w:basedOn w:val="Normaltabell"/>
    <w:uiPriority w:val="99"/>
    <w:semiHidden/>
    <w:unhideWhenUsed/>
    <w:rsid w:val="00CE3468"/>
    <w:pPr>
      <w:spacing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E3468"/>
    <w:pPr>
      <w:spacing w:line="240" w:lineRule="auto"/>
    </w:pPr>
    <w:tblPr/>
    <w:tblStylePr w:type="nwCell">
      <w:rPr>
        <w:b/>
        <w:bCs/>
        <w:color w:val="FFFFFF"/>
      </w:rPr>
    </w:tblStylePr>
  </w:style>
  <w:style w:type="table" w:styleId="Frgatrutnt">
    <w:name w:val="Colorful Grid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</w:tblStylePr>
  </w:style>
  <w:style w:type="table" w:styleId="Frgatrutnt-dekorfrg1">
    <w:name w:val="Colorful Grid Accent 1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6EDFF" w:themeFill="accent1" w:themeFillTint="33"/>
    </w:tcPr>
    <w:tblStylePr w:type="firstRow">
      <w:rPr>
        <w:b/>
        <w:bCs/>
      </w:rPr>
      <w:tblPr/>
      <w:tcPr>
        <w:shd w:val="clear" w:color="auto" w:fill="8EDC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C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76AA" w:themeFill="accent1" w:themeFillShade="BF"/>
      </w:tcPr>
    </w:tblStylePr>
    <w:tblStylePr w:type="lastCol">
      <w:rPr>
        <w:color w:val="FFFFFF" w:themeColor="background1"/>
      </w:rPr>
    </w:tblStylePr>
  </w:style>
  <w:style w:type="table" w:styleId="Frgatrutnt-dekorfrg2">
    <w:name w:val="Colorful Grid Accent 2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C7E5" w:themeFill="accent2" w:themeFillTint="33"/>
    </w:tcPr>
    <w:tblStylePr w:type="firstRow">
      <w:rPr>
        <w:b/>
        <w:bCs/>
      </w:rPr>
      <w:tblPr/>
      <w:tcPr>
        <w:shd w:val="clear" w:color="auto" w:fill="FF8FC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8FC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005D" w:themeFill="accent2" w:themeFillShade="BF"/>
      </w:tcPr>
    </w:tblStylePr>
    <w:tblStylePr w:type="lastCol">
      <w:rPr>
        <w:color w:val="FFFFFF" w:themeColor="background1"/>
      </w:rPr>
    </w:tblStylePr>
  </w:style>
  <w:style w:type="table" w:styleId="Frgatrutnt-dekorfrg3">
    <w:name w:val="Colorful Grid Accent 3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CC6" w:themeFill="accent3" w:themeFillTint="33"/>
    </w:tcPr>
    <w:tblStylePr w:type="firstRow">
      <w:rPr>
        <w:b/>
        <w:bCs/>
      </w:rPr>
      <w:tblPr/>
      <w:tcPr>
        <w:shd w:val="clear" w:color="auto" w:fill="E9F98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F98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39708" w:themeFill="accent3" w:themeFillShade="BF"/>
      </w:tcPr>
    </w:tblStylePr>
    <w:tblStylePr w:type="lastCol">
      <w:rPr>
        <w:color w:val="FFFFFF" w:themeColor="background1"/>
      </w:rPr>
    </w:tblStylePr>
  </w:style>
  <w:style w:type="table" w:styleId="Frgatrutnt-dekorfrg4">
    <w:name w:val="Colorful Grid Accent 4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CC" w:themeFill="accent4" w:themeFillTint="33"/>
    </w:tcPr>
    <w:tblStylePr w:type="firstRow">
      <w:rPr>
        <w:b/>
        <w:bCs/>
      </w:rPr>
      <w:tblPr/>
      <w:tcPr>
        <w:shd w:val="clear" w:color="auto" w:fill="FFEA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A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9800" w:themeFill="accent4" w:themeFillShade="BF"/>
      </w:tcPr>
    </w:tblStylePr>
    <w:tblStylePr w:type="lastCol">
      <w:rPr>
        <w:color w:val="FFFFFF" w:themeColor="background1"/>
      </w:rPr>
    </w:tblStylePr>
  </w:style>
  <w:style w:type="table" w:styleId="Frgatrutnt-dekorfrg5">
    <w:name w:val="Colorful Grid Accent 5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DE8" w:themeFill="accent5" w:themeFillTint="33"/>
    </w:tcPr>
    <w:tblStylePr w:type="firstRow">
      <w:rPr>
        <w:b/>
        <w:bCs/>
      </w:rPr>
      <w:tblPr/>
      <w:tcPr>
        <w:shd w:val="clear" w:color="auto" w:fill="F6FCD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CD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6F231" w:themeFill="accent5" w:themeFillShade="BF"/>
      </w:tcPr>
    </w:tblStylePr>
    <w:tblStylePr w:type="lastCol">
      <w:rPr>
        <w:color w:val="FFFFFF" w:themeColor="background1"/>
      </w:rPr>
    </w:tblStylePr>
  </w:style>
  <w:style w:type="table" w:styleId="Frgatrutnt-dekorfrg6">
    <w:name w:val="Colorful Grid Accent 6"/>
    <w:basedOn w:val="Normaltabell"/>
    <w:uiPriority w:val="73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E9E9" w:themeFill="accent6" w:themeFillTint="33"/>
    </w:tcPr>
    <w:tblStylePr w:type="firstRow">
      <w:rPr>
        <w:b/>
        <w:bCs/>
      </w:rPr>
      <w:tblPr/>
      <w:tcPr>
        <w:shd w:val="clear" w:color="auto" w:fill="D3D3D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3D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C6C6C" w:themeFill="accent6" w:themeFillShade="BF"/>
      </w:tcPr>
    </w:tblStylePr>
    <w:tblStylePr w:type="lastCol">
      <w:rPr>
        <w:color w:val="FFFFFF" w:themeColor="background1"/>
      </w:rPr>
    </w:tblStylePr>
  </w:style>
  <w:style w:type="paragraph" w:styleId="HTML-adress">
    <w:name w:val="HTML Address"/>
    <w:basedOn w:val="Normal"/>
    <w:link w:val="HTML-adressChar"/>
    <w:uiPriority w:val="99"/>
    <w:semiHidden/>
    <w:unhideWhenUsed/>
    <w:rsid w:val="00CE3468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E3468"/>
    <w:rPr>
      <w:rFonts w:ascii="Times New Roman" w:hAnsi="Times New Roman"/>
      <w:i/>
      <w:iCs/>
      <w:sz w:val="21"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CE3468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CE3468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CE3468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CE3468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E3468"/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E3468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CE3468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CE3468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CE3468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CE3468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E3468"/>
    <w:pPr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3468"/>
    <w:pPr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3468"/>
    <w:pPr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3468"/>
    <w:pPr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3468"/>
    <w:pPr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3468"/>
    <w:pPr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3468"/>
    <w:pPr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3468"/>
    <w:pPr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3468"/>
    <w:pPr>
      <w:ind w:left="1890" w:hanging="21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E3468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E3468"/>
    <w:pPr>
      <w:pBdr>
        <w:top w:val="single" w:sz="2" w:space="10" w:color="009FE4" w:themeColor="accent1"/>
        <w:left w:val="single" w:sz="2" w:space="10" w:color="009FE4" w:themeColor="accent1"/>
        <w:bottom w:val="single" w:sz="2" w:space="10" w:color="009FE4" w:themeColor="accent1"/>
        <w:right w:val="single" w:sz="2" w:space="10" w:color="009FE4" w:themeColor="accent1"/>
      </w:pBdr>
      <w:ind w:left="1152" w:right="1152"/>
    </w:pPr>
    <w:rPr>
      <w:rFonts w:asciiTheme="minorHAnsi" w:eastAsiaTheme="minorEastAsia" w:hAnsiTheme="minorHAnsi"/>
      <w:i/>
      <w:iCs/>
      <w:color w:val="009FE4" w:themeColor="accent1"/>
    </w:rPr>
  </w:style>
  <w:style w:type="paragraph" w:styleId="Ingetavstnd">
    <w:name w:val="No Spacing"/>
    <w:uiPriority w:val="1"/>
    <w:rsid w:val="00CE3468"/>
    <w:pPr>
      <w:spacing w:after="0" w:line="240" w:lineRule="auto"/>
    </w:pPr>
    <w:rPr>
      <w:rFonts w:ascii="Times New Roman" w:hAnsi="Times New Roman"/>
      <w:sz w:val="2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E346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CE3468"/>
    <w:pPr>
      <w:spacing w:after="100"/>
      <w:ind w:left="84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E3468"/>
    <w:pPr>
      <w:spacing w:after="100"/>
      <w:ind w:left="10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E3468"/>
    <w:pPr>
      <w:spacing w:after="100"/>
      <w:ind w:left="126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E3468"/>
    <w:pPr>
      <w:spacing w:after="100"/>
      <w:ind w:left="147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E3468"/>
    <w:pPr>
      <w:spacing w:after="100"/>
      <w:ind w:left="1680"/>
    </w:pPr>
  </w:style>
  <w:style w:type="paragraph" w:styleId="Innehllsfrteckningsrubrik">
    <w:name w:val="TOC Heading"/>
    <w:basedOn w:val="Rubrik1"/>
    <w:next w:val="Normal"/>
    <w:uiPriority w:val="39"/>
    <w:unhideWhenUsed/>
    <w:qFormat/>
    <w:rsid w:val="00560EE2"/>
    <w:pPr>
      <w:numPr>
        <w:numId w:val="0"/>
      </w:numPr>
      <w:spacing w:before="240"/>
      <w:outlineLvl w:val="9"/>
    </w:pPr>
    <w:rPr>
      <w:b w:val="0"/>
      <w:bCs w:val="0"/>
      <w:sz w:val="32"/>
      <w:szCs w:val="32"/>
    </w:rPr>
  </w:style>
  <w:style w:type="paragraph" w:styleId="Kommentarer">
    <w:name w:val="annotation text"/>
    <w:basedOn w:val="Normal"/>
    <w:link w:val="KommentarerChar"/>
    <w:uiPriority w:val="99"/>
    <w:unhideWhenUsed/>
    <w:rsid w:val="00CE346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E3468"/>
    <w:rPr>
      <w:rFonts w:ascii="Times New Roman" w:hAnsi="Times New Roman"/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E3468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346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3468"/>
    <w:rPr>
      <w:rFonts w:ascii="Times New Roman" w:hAnsi="Times New Roman"/>
      <w:b/>
      <w:bCs/>
      <w:sz w:val="20"/>
      <w:szCs w:val="20"/>
      <w:lang w:val="sv-SE"/>
    </w:rPr>
  </w:style>
  <w:style w:type="paragraph" w:styleId="Lista">
    <w:name w:val="List"/>
    <w:basedOn w:val="Normal"/>
    <w:uiPriority w:val="99"/>
    <w:semiHidden/>
    <w:unhideWhenUsed/>
    <w:rsid w:val="00CE3468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E3468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E3468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E3468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E3468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E3468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E3468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E3468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E3468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E3468"/>
    <w:pPr>
      <w:spacing w:after="120"/>
      <w:ind w:left="1415"/>
      <w:contextualSpacing/>
    </w:pPr>
  </w:style>
  <w:style w:type="table" w:styleId="Listtabell1ljus">
    <w:name w:val="List Table 1 Light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57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57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FF55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FF55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0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0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A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A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BD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BD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</w:style>
  <w:style w:type="table" w:styleId="Listtabell2">
    <w:name w:val="List Table 2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6EDFF" w:themeFill="accent1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C7E5" w:themeFill="accent2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4FCC6" w:themeFill="accent3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F4CC" w:themeFill="accent4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AFDE8" w:themeFill="accent5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E9E9E9" w:themeFill="accent6" w:themeFillTint="33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</w:style>
  <w:style w:type="table" w:styleId="Listtabell3">
    <w:name w:val="List Table 3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009FE4" w:themeColor="accent1"/>
        <w:left w:val="single" w:sz="4" w:space="0" w:color="009FE4" w:themeColor="accent1"/>
        <w:bottom w:val="single" w:sz="4" w:space="0" w:color="009FE4" w:themeColor="accent1"/>
        <w:right w:val="single" w:sz="4" w:space="0" w:color="009FE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E4" w:themeFill="accent1"/>
      </w:tcPr>
    </w:tblStylePr>
    <w:tblStylePr w:type="lastRow">
      <w:rPr>
        <w:b/>
        <w:bCs/>
      </w:rPr>
      <w:tblPr/>
      <w:tcPr>
        <w:tcBorders>
          <w:top w:val="double" w:sz="4" w:space="0" w:color="009FE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E4" w:themeColor="accent1"/>
          <w:right w:val="single" w:sz="4" w:space="0" w:color="009FE4" w:themeColor="accent1"/>
        </w:tcBorders>
      </w:tcPr>
    </w:tblStylePr>
    <w:tblStylePr w:type="band1Horz">
      <w:tblPr/>
      <w:tcPr>
        <w:tcBorders>
          <w:top w:val="single" w:sz="4" w:space="0" w:color="009FE4" w:themeColor="accent1"/>
          <w:bottom w:val="single" w:sz="4" w:space="0" w:color="009FE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E4" w:themeColor="accent1"/>
          <w:left w:val="nil"/>
        </w:tcBorders>
      </w:tcPr>
    </w:tblStylePr>
    <w:tblStylePr w:type="swCell">
      <w:tblPr/>
      <w:tcPr>
        <w:tcBorders>
          <w:top w:val="double" w:sz="4" w:space="0" w:color="009FE4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E6007E" w:themeColor="accent2"/>
        <w:left w:val="single" w:sz="4" w:space="0" w:color="E6007E" w:themeColor="accent2"/>
        <w:bottom w:val="single" w:sz="4" w:space="0" w:color="E6007E" w:themeColor="accent2"/>
        <w:right w:val="single" w:sz="4" w:space="0" w:color="E6007E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007E" w:themeFill="accent2"/>
      </w:tcPr>
    </w:tblStylePr>
    <w:tblStylePr w:type="lastRow">
      <w:rPr>
        <w:b/>
        <w:bCs/>
      </w:rPr>
      <w:tblPr/>
      <w:tcPr>
        <w:tcBorders>
          <w:top w:val="double" w:sz="4" w:space="0" w:color="E6007E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007E" w:themeColor="accent2"/>
          <w:right w:val="single" w:sz="4" w:space="0" w:color="E6007E" w:themeColor="accent2"/>
        </w:tcBorders>
      </w:tcPr>
    </w:tblStylePr>
    <w:tblStylePr w:type="band1Horz">
      <w:tblPr/>
      <w:tcPr>
        <w:tcBorders>
          <w:top w:val="single" w:sz="4" w:space="0" w:color="E6007E" w:themeColor="accent2"/>
          <w:bottom w:val="single" w:sz="4" w:space="0" w:color="E6007E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007E" w:themeColor="accent2"/>
          <w:left w:val="nil"/>
        </w:tcBorders>
      </w:tcPr>
    </w:tblStylePr>
    <w:tblStylePr w:type="swCell">
      <w:tblPr/>
      <w:tcPr>
        <w:tcBorders>
          <w:top w:val="double" w:sz="4" w:space="0" w:color="E6007E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B0CB0B" w:themeColor="accent3"/>
        <w:left w:val="single" w:sz="4" w:space="0" w:color="B0CB0B" w:themeColor="accent3"/>
        <w:bottom w:val="single" w:sz="4" w:space="0" w:color="B0CB0B" w:themeColor="accent3"/>
        <w:right w:val="single" w:sz="4" w:space="0" w:color="B0CB0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0CB0B" w:themeFill="accent3"/>
      </w:tcPr>
    </w:tblStylePr>
    <w:tblStylePr w:type="lastRow">
      <w:rPr>
        <w:b/>
        <w:bCs/>
      </w:rPr>
      <w:tblPr/>
      <w:tcPr>
        <w:tcBorders>
          <w:top w:val="double" w:sz="4" w:space="0" w:color="B0CB0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0CB0B" w:themeColor="accent3"/>
          <w:right w:val="single" w:sz="4" w:space="0" w:color="B0CB0B" w:themeColor="accent3"/>
        </w:tcBorders>
      </w:tcPr>
    </w:tblStylePr>
    <w:tblStylePr w:type="band1Horz">
      <w:tblPr/>
      <w:tcPr>
        <w:tcBorders>
          <w:top w:val="single" w:sz="4" w:space="0" w:color="B0CB0B" w:themeColor="accent3"/>
          <w:bottom w:val="single" w:sz="4" w:space="0" w:color="B0CB0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0CB0B" w:themeColor="accent3"/>
          <w:left w:val="nil"/>
        </w:tcBorders>
      </w:tcPr>
    </w:tblStylePr>
    <w:tblStylePr w:type="swCell">
      <w:tblPr/>
      <w:tcPr>
        <w:tcBorders>
          <w:top w:val="double" w:sz="4" w:space="0" w:color="B0CB0B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CC00" w:themeColor="accent4"/>
        <w:left w:val="single" w:sz="4" w:space="0" w:color="FFCC00" w:themeColor="accent4"/>
        <w:bottom w:val="single" w:sz="4" w:space="0" w:color="FFCC00" w:themeColor="accent4"/>
        <w:right w:val="single" w:sz="4" w:space="0" w:color="FFCC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C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C00" w:themeColor="accent4"/>
          <w:right w:val="single" w:sz="4" w:space="0" w:color="FFCC00" w:themeColor="accent4"/>
        </w:tcBorders>
      </w:tcPr>
    </w:tblStylePr>
    <w:tblStylePr w:type="band1Horz">
      <w:tblPr/>
      <w:tcPr>
        <w:tcBorders>
          <w:top w:val="single" w:sz="4" w:space="0" w:color="FFCC00" w:themeColor="accent4"/>
          <w:bottom w:val="single" w:sz="4" w:space="0" w:color="FFCC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C00" w:themeColor="accent4"/>
          <w:left w:val="nil"/>
        </w:tcBorders>
      </w:tcPr>
    </w:tblStylePr>
    <w:tblStylePr w:type="swCell">
      <w:tblPr/>
      <w:tcPr>
        <w:tcBorders>
          <w:top w:val="double" w:sz="4" w:space="0" w:color="FFCC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E9F88E" w:themeColor="accent5"/>
        <w:left w:val="single" w:sz="4" w:space="0" w:color="E9F88E" w:themeColor="accent5"/>
        <w:bottom w:val="single" w:sz="4" w:space="0" w:color="E9F88E" w:themeColor="accent5"/>
        <w:right w:val="single" w:sz="4" w:space="0" w:color="E9F88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F88E" w:themeFill="accent5"/>
      </w:tcPr>
    </w:tblStylePr>
    <w:tblStylePr w:type="lastRow">
      <w:rPr>
        <w:b/>
        <w:bCs/>
      </w:rPr>
      <w:tblPr/>
      <w:tcPr>
        <w:tcBorders>
          <w:top w:val="double" w:sz="4" w:space="0" w:color="E9F88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F88E" w:themeColor="accent5"/>
          <w:right w:val="single" w:sz="4" w:space="0" w:color="E9F88E" w:themeColor="accent5"/>
        </w:tcBorders>
      </w:tcPr>
    </w:tblStylePr>
    <w:tblStylePr w:type="band1Horz">
      <w:tblPr/>
      <w:tcPr>
        <w:tcBorders>
          <w:top w:val="single" w:sz="4" w:space="0" w:color="E9F88E" w:themeColor="accent5"/>
          <w:bottom w:val="single" w:sz="4" w:space="0" w:color="E9F88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F88E" w:themeColor="accent5"/>
          <w:left w:val="nil"/>
        </w:tcBorders>
      </w:tcPr>
    </w:tblStylePr>
    <w:tblStylePr w:type="swCell">
      <w:tblPr/>
      <w:tcPr>
        <w:tcBorders>
          <w:top w:val="double" w:sz="4" w:space="0" w:color="E9F88E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919191" w:themeColor="accent6"/>
        <w:left w:val="single" w:sz="4" w:space="0" w:color="919191" w:themeColor="accent6"/>
        <w:bottom w:val="single" w:sz="4" w:space="0" w:color="919191" w:themeColor="accent6"/>
        <w:right w:val="single" w:sz="4" w:space="0" w:color="91919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191" w:themeFill="accent6"/>
      </w:tcPr>
    </w:tblStylePr>
    <w:tblStylePr w:type="lastRow">
      <w:rPr>
        <w:b/>
        <w:bCs/>
      </w:rPr>
      <w:tblPr/>
      <w:tcPr>
        <w:tcBorders>
          <w:top w:val="double" w:sz="4" w:space="0" w:color="91919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191" w:themeColor="accent6"/>
          <w:right w:val="single" w:sz="4" w:space="0" w:color="919191" w:themeColor="accent6"/>
        </w:tcBorders>
      </w:tcPr>
    </w:tblStylePr>
    <w:tblStylePr w:type="band1Horz">
      <w:tblPr/>
      <w:tcPr>
        <w:tcBorders>
          <w:top w:val="single" w:sz="4" w:space="0" w:color="919191" w:themeColor="accent6"/>
          <w:bottom w:val="single" w:sz="4" w:space="0" w:color="91919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191" w:themeColor="accent6"/>
          <w:left w:val="nil"/>
        </w:tcBorders>
      </w:tcPr>
    </w:tblStylePr>
    <w:tblStylePr w:type="swCell">
      <w:tblPr/>
      <w:tcPr>
        <w:tcBorders>
          <w:top w:val="double" w:sz="4" w:space="0" w:color="919191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4" w:themeColor="accent1"/>
          <w:left w:val="single" w:sz="4" w:space="0" w:color="009FE4" w:themeColor="accent1"/>
          <w:bottom w:val="single" w:sz="4" w:space="0" w:color="009FE4" w:themeColor="accent1"/>
          <w:right w:val="single" w:sz="4" w:space="0" w:color="009FE4" w:themeColor="accent1"/>
          <w:insideH w:val="nil"/>
        </w:tcBorders>
        <w:shd w:val="clear" w:color="auto" w:fill="009FE4" w:themeFill="accent1"/>
      </w:tcPr>
    </w:tblStylePr>
    <w:tblStylePr w:type="lastRow">
      <w:rPr>
        <w:b/>
        <w:bCs/>
      </w:rPr>
      <w:tblPr/>
      <w:tcPr>
        <w:tcBorders>
          <w:top w:val="doub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57B2" w:themeColor="accent2" w:themeTint="99"/>
        <w:left w:val="single" w:sz="4" w:space="0" w:color="FF57B2" w:themeColor="accent2" w:themeTint="99"/>
        <w:bottom w:val="single" w:sz="4" w:space="0" w:color="FF57B2" w:themeColor="accent2" w:themeTint="99"/>
        <w:right w:val="single" w:sz="4" w:space="0" w:color="FF57B2" w:themeColor="accent2" w:themeTint="99"/>
        <w:insideH w:val="single" w:sz="4" w:space="0" w:color="FF57B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007E" w:themeColor="accent2"/>
          <w:left w:val="single" w:sz="4" w:space="0" w:color="E6007E" w:themeColor="accent2"/>
          <w:bottom w:val="single" w:sz="4" w:space="0" w:color="E6007E" w:themeColor="accent2"/>
          <w:right w:val="single" w:sz="4" w:space="0" w:color="E6007E" w:themeColor="accent2"/>
          <w:insideH w:val="nil"/>
        </w:tcBorders>
        <w:shd w:val="clear" w:color="auto" w:fill="E6007E" w:themeFill="accent2"/>
      </w:tcPr>
    </w:tblStylePr>
    <w:tblStylePr w:type="lastRow">
      <w:rPr>
        <w:b/>
        <w:bCs/>
      </w:rPr>
      <w:tblPr/>
      <w:tcPr>
        <w:tcBorders>
          <w:top w:val="double" w:sz="4" w:space="0" w:color="FF57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DFF556" w:themeColor="accent3" w:themeTint="99"/>
        <w:left w:val="single" w:sz="4" w:space="0" w:color="DFF556" w:themeColor="accent3" w:themeTint="99"/>
        <w:bottom w:val="single" w:sz="4" w:space="0" w:color="DFF556" w:themeColor="accent3" w:themeTint="99"/>
        <w:right w:val="single" w:sz="4" w:space="0" w:color="DFF556" w:themeColor="accent3" w:themeTint="99"/>
        <w:insideH w:val="single" w:sz="4" w:space="0" w:color="DFF55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B0B" w:themeColor="accent3"/>
          <w:left w:val="single" w:sz="4" w:space="0" w:color="B0CB0B" w:themeColor="accent3"/>
          <w:bottom w:val="single" w:sz="4" w:space="0" w:color="B0CB0B" w:themeColor="accent3"/>
          <w:right w:val="single" w:sz="4" w:space="0" w:color="B0CB0B" w:themeColor="accent3"/>
          <w:insideH w:val="nil"/>
        </w:tcBorders>
        <w:shd w:val="clear" w:color="auto" w:fill="B0CB0B" w:themeFill="accent3"/>
      </w:tcPr>
    </w:tblStylePr>
    <w:tblStylePr w:type="lastRow">
      <w:rPr>
        <w:b/>
        <w:bCs/>
      </w:rPr>
      <w:tblPr/>
      <w:tcPr>
        <w:tcBorders>
          <w:top w:val="double" w:sz="4" w:space="0" w:color="DFF55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4" w:themeTint="99"/>
        <w:left w:val="single" w:sz="4" w:space="0" w:color="FFE066" w:themeColor="accent4" w:themeTint="99"/>
        <w:bottom w:val="single" w:sz="4" w:space="0" w:color="FFE066" w:themeColor="accent4" w:themeTint="99"/>
        <w:right w:val="single" w:sz="4" w:space="0" w:color="FFE066" w:themeColor="accent4" w:themeTint="99"/>
        <w:insideH w:val="single" w:sz="4" w:space="0" w:color="FFE0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4"/>
          <w:left w:val="single" w:sz="4" w:space="0" w:color="FFCC00" w:themeColor="accent4"/>
          <w:bottom w:val="single" w:sz="4" w:space="0" w:color="FFCC00" w:themeColor="accent4"/>
          <w:right w:val="single" w:sz="4" w:space="0" w:color="FFCC00" w:themeColor="accent4"/>
          <w:insideH w:val="nil"/>
        </w:tcBorders>
        <w:shd w:val="clear" w:color="auto" w:fill="FFC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0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1FABB" w:themeColor="accent5" w:themeTint="99"/>
        <w:left w:val="single" w:sz="4" w:space="0" w:color="F1FABB" w:themeColor="accent5" w:themeTint="99"/>
        <w:bottom w:val="single" w:sz="4" w:space="0" w:color="F1FABB" w:themeColor="accent5" w:themeTint="99"/>
        <w:right w:val="single" w:sz="4" w:space="0" w:color="F1FABB" w:themeColor="accent5" w:themeTint="99"/>
        <w:insideH w:val="single" w:sz="4" w:space="0" w:color="F1FAB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F88E" w:themeColor="accent5"/>
          <w:left w:val="single" w:sz="4" w:space="0" w:color="E9F88E" w:themeColor="accent5"/>
          <w:bottom w:val="single" w:sz="4" w:space="0" w:color="E9F88E" w:themeColor="accent5"/>
          <w:right w:val="single" w:sz="4" w:space="0" w:color="E9F88E" w:themeColor="accent5"/>
          <w:insideH w:val="nil"/>
        </w:tcBorders>
        <w:shd w:val="clear" w:color="auto" w:fill="E9F88E" w:themeFill="accent5"/>
      </w:tcPr>
    </w:tblStylePr>
    <w:tblStylePr w:type="lastRow">
      <w:rPr>
        <w:b/>
        <w:bCs/>
      </w:rPr>
      <w:tblPr/>
      <w:tcPr>
        <w:tcBorders>
          <w:top w:val="double" w:sz="4" w:space="0" w:color="F1FA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6" w:themeTint="99"/>
        <w:left w:val="single" w:sz="4" w:space="0" w:color="BDBDBD" w:themeColor="accent6" w:themeTint="99"/>
        <w:bottom w:val="single" w:sz="4" w:space="0" w:color="BDBDBD" w:themeColor="accent6" w:themeTint="99"/>
        <w:right w:val="single" w:sz="4" w:space="0" w:color="BDBDBD" w:themeColor="accent6" w:themeTint="99"/>
        <w:insideH w:val="single" w:sz="4" w:space="0" w:color="BDBDB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191" w:themeColor="accent6"/>
          <w:left w:val="single" w:sz="4" w:space="0" w:color="919191" w:themeColor="accent6"/>
          <w:bottom w:val="single" w:sz="4" w:space="0" w:color="919191" w:themeColor="accent6"/>
          <w:right w:val="single" w:sz="4" w:space="0" w:color="919191" w:themeColor="accent6"/>
          <w:insideH w:val="nil"/>
        </w:tcBorders>
        <w:shd w:val="clear" w:color="auto" w:fill="919191" w:themeFill="accent6"/>
      </w:tcPr>
    </w:tblStylePr>
    <w:tblStylePr w:type="lastRow">
      <w:rPr>
        <w:b/>
        <w:bCs/>
      </w:rPr>
      <w:tblPr/>
      <w:tcPr>
        <w:tcBorders>
          <w:top w:val="double" w:sz="4" w:space="0" w:color="BDBD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009FE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E6007E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B0CB0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FFCC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E9F88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single" w:sz="4" w:space="0" w:color="FFFFFF" w:themeColor="background1"/>
        <w:bottom w:val="single" w:sz="4" w:space="0" w:color="FFFFFF" w:themeColor="background1"/>
      </w:tcBorders>
      <w:shd w:val="clear" w:color="auto" w:fill="91919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E3468"/>
    <w:pPr>
      <w:spacing w:after="0" w:line="240" w:lineRule="auto"/>
    </w:pPr>
    <w:rPr>
      <w:color w:val="0076AA" w:themeColor="accent1" w:themeShade="BF"/>
    </w:rPr>
    <w:tblPr>
      <w:tblStyleRowBandSize w:val="1"/>
      <w:tblStyleColBandSize w:val="1"/>
      <w:tblBorders>
        <w:top w:val="single" w:sz="4" w:space="0" w:color="009FE4" w:themeColor="accent1"/>
        <w:bottom w:val="single" w:sz="4" w:space="0" w:color="009FE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9FE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E3468"/>
    <w:pPr>
      <w:spacing w:after="0" w:line="240" w:lineRule="auto"/>
    </w:pPr>
    <w:rPr>
      <w:color w:val="AC005D" w:themeColor="accent2" w:themeShade="BF"/>
    </w:rPr>
    <w:tblPr>
      <w:tblStyleRowBandSize w:val="1"/>
      <w:tblStyleColBandSize w:val="1"/>
      <w:tblBorders>
        <w:top w:val="single" w:sz="4" w:space="0" w:color="E6007E" w:themeColor="accent2"/>
        <w:bottom w:val="single" w:sz="4" w:space="0" w:color="E6007E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6007E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6007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E3468"/>
    <w:pPr>
      <w:spacing w:after="0" w:line="240" w:lineRule="auto"/>
    </w:pPr>
    <w:rPr>
      <w:color w:val="839708" w:themeColor="accent3" w:themeShade="BF"/>
    </w:rPr>
    <w:tblPr>
      <w:tblStyleRowBandSize w:val="1"/>
      <w:tblStyleColBandSize w:val="1"/>
      <w:tblBorders>
        <w:top w:val="single" w:sz="4" w:space="0" w:color="B0CB0B" w:themeColor="accent3"/>
        <w:bottom w:val="single" w:sz="4" w:space="0" w:color="B0CB0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0CB0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0CB0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E3468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  <w:tblBorders>
        <w:top w:val="single" w:sz="4" w:space="0" w:color="FFCC00" w:themeColor="accent4"/>
        <w:bottom w:val="single" w:sz="4" w:space="0" w:color="FFCC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C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E3468"/>
    <w:pPr>
      <w:spacing w:after="0" w:line="240" w:lineRule="auto"/>
    </w:pPr>
    <w:rPr>
      <w:color w:val="D6F231" w:themeColor="accent5" w:themeShade="BF"/>
    </w:rPr>
    <w:tblPr>
      <w:tblStyleRowBandSize w:val="1"/>
      <w:tblStyleColBandSize w:val="1"/>
      <w:tblBorders>
        <w:top w:val="single" w:sz="4" w:space="0" w:color="E9F88E" w:themeColor="accent5"/>
        <w:bottom w:val="single" w:sz="4" w:space="0" w:color="E9F88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9F88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9F8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E3468"/>
    <w:pPr>
      <w:spacing w:after="0" w:line="240" w:lineRule="auto"/>
    </w:pPr>
    <w:rPr>
      <w:color w:val="6C6C6C" w:themeColor="accent6" w:themeShade="BF"/>
    </w:rPr>
    <w:tblPr>
      <w:tblStyleRowBandSize w:val="1"/>
      <w:tblStyleColBandSize w:val="1"/>
      <w:tblBorders>
        <w:top w:val="single" w:sz="4" w:space="0" w:color="919191" w:themeColor="accent6"/>
        <w:bottom w:val="single" w:sz="4" w:space="0" w:color="91919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1919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191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tcBorders>
        <w:left w:val="single" w:sz="4" w:space="0" w:color="000000" w:themeColor="text1"/>
      </w:tcBorders>
      <w:shd w:val="clear" w:color="auto" w:fill="CCCCCC" w:themeFill="tex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E3468"/>
    <w:pPr>
      <w:spacing w:after="0" w:line="240" w:lineRule="auto"/>
    </w:pPr>
    <w:rPr>
      <w:color w:val="0076AA" w:themeColor="accent1" w:themeShade="BF"/>
    </w:rPr>
    <w:tblPr>
      <w:tblStyleRowBandSize w:val="1"/>
      <w:tblStyleColBandSize w:val="1"/>
    </w:tblPr>
    <w:tcPr>
      <w:tcBorders>
        <w:left w:val="single" w:sz="4" w:space="0" w:color="009FE4" w:themeColor="accent1"/>
      </w:tcBorders>
      <w:shd w:val="clear" w:color="auto" w:fill="C6EDFF" w:themeFill="accent1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FE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FE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FE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E3468"/>
    <w:pPr>
      <w:spacing w:after="0" w:line="240" w:lineRule="auto"/>
    </w:pPr>
    <w:rPr>
      <w:color w:val="AC005D" w:themeColor="accent2" w:themeShade="BF"/>
    </w:rPr>
    <w:tblPr>
      <w:tblStyleRowBandSize w:val="1"/>
      <w:tblStyleColBandSize w:val="1"/>
    </w:tblPr>
    <w:tcPr>
      <w:tcBorders>
        <w:left w:val="single" w:sz="4" w:space="0" w:color="E6007E" w:themeColor="accent2"/>
      </w:tcBorders>
      <w:shd w:val="clear" w:color="auto" w:fill="FFC7E5" w:themeFill="accent2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6007E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6007E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6007E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E3468"/>
    <w:pPr>
      <w:spacing w:after="0" w:line="240" w:lineRule="auto"/>
    </w:pPr>
    <w:rPr>
      <w:color w:val="839708" w:themeColor="accent3" w:themeShade="BF"/>
    </w:rPr>
    <w:tblPr>
      <w:tblStyleRowBandSize w:val="1"/>
      <w:tblStyleColBandSize w:val="1"/>
    </w:tblPr>
    <w:tcPr>
      <w:tcBorders>
        <w:left w:val="single" w:sz="4" w:space="0" w:color="B0CB0B" w:themeColor="accent3"/>
      </w:tcBorders>
      <w:shd w:val="clear" w:color="auto" w:fill="F4FCC6" w:themeFill="accent3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0CB0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0CB0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0CB0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E3468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</w:tblPr>
    <w:tcPr>
      <w:tcBorders>
        <w:left w:val="single" w:sz="4" w:space="0" w:color="FFCC00" w:themeColor="accent4"/>
      </w:tcBorders>
      <w:shd w:val="clear" w:color="auto" w:fill="FFF4CC" w:themeFill="accent4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C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C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C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E3468"/>
    <w:pPr>
      <w:spacing w:after="0" w:line="240" w:lineRule="auto"/>
    </w:pPr>
    <w:rPr>
      <w:color w:val="D6F231" w:themeColor="accent5" w:themeShade="BF"/>
    </w:rPr>
    <w:tblPr>
      <w:tblStyleRowBandSize w:val="1"/>
      <w:tblStyleColBandSize w:val="1"/>
    </w:tblPr>
    <w:tcPr>
      <w:tcBorders>
        <w:left w:val="single" w:sz="4" w:space="0" w:color="E9F88E" w:themeColor="accent5"/>
      </w:tcBorders>
      <w:shd w:val="clear" w:color="auto" w:fill="FAFDE8" w:themeFill="accent5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F88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F88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F88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E3468"/>
    <w:pPr>
      <w:spacing w:after="0" w:line="240" w:lineRule="auto"/>
    </w:pPr>
    <w:rPr>
      <w:color w:val="6C6C6C" w:themeColor="accent6" w:themeShade="BF"/>
    </w:rPr>
    <w:tblPr>
      <w:tblStyleRowBandSize w:val="1"/>
      <w:tblStyleColBandSize w:val="1"/>
    </w:tblPr>
    <w:tcPr>
      <w:tcBorders>
        <w:left w:val="single" w:sz="4" w:space="0" w:color="919191" w:themeColor="accent6"/>
      </w:tcBorders>
      <w:shd w:val="clear" w:color="auto" w:fill="E9E9E9" w:themeFill="accent6" w:themeFillTint="33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19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19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19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E3468"/>
  </w:style>
  <w:style w:type="table" w:styleId="Ljuslista">
    <w:name w:val="Light List"/>
    <w:basedOn w:val="Normaltabell"/>
    <w:uiPriority w:val="61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lista-dekorfrg1">
    <w:name w:val="Light List Accent 1"/>
    <w:basedOn w:val="Normaltabell"/>
    <w:uiPriority w:val="61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009FE4" w:themeColor="accent1"/>
        <w:left w:val="single" w:sz="8" w:space="0" w:color="009FE4" w:themeColor="accent1"/>
        <w:bottom w:val="single" w:sz="8" w:space="0" w:color="009FE4" w:themeColor="accent1"/>
        <w:right w:val="single" w:sz="8" w:space="0" w:color="009FE4" w:themeColor="accent1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lista-dekorfrg3">
    <w:name w:val="Light List Accent 3"/>
    <w:basedOn w:val="Normaltabell"/>
    <w:uiPriority w:val="61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B0CB0B" w:themeColor="accent3"/>
        <w:left w:val="single" w:sz="8" w:space="0" w:color="B0CB0B" w:themeColor="accent3"/>
        <w:bottom w:val="single" w:sz="8" w:space="0" w:color="B0CB0B" w:themeColor="accent3"/>
        <w:right w:val="single" w:sz="8" w:space="0" w:color="B0CB0B" w:themeColor="accent3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0CB0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lista-dekorfrg4">
    <w:name w:val="Light List Accent 4"/>
    <w:basedOn w:val="Normaltabell"/>
    <w:uiPriority w:val="61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CC00" w:themeColor="accent4"/>
        <w:left w:val="single" w:sz="8" w:space="0" w:color="FFCC00" w:themeColor="accent4"/>
        <w:bottom w:val="single" w:sz="8" w:space="0" w:color="FFCC00" w:themeColor="accent4"/>
        <w:right w:val="single" w:sz="8" w:space="0" w:color="FFCC00" w:themeColor="accent4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C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lista-dekorfrg6">
    <w:name w:val="Light List Accent 6"/>
    <w:basedOn w:val="Normaltabell"/>
    <w:uiPriority w:val="61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919191" w:themeColor="accent6"/>
        <w:left w:val="single" w:sz="8" w:space="0" w:color="919191" w:themeColor="accent6"/>
        <w:bottom w:val="single" w:sz="8" w:space="0" w:color="919191" w:themeColor="accent6"/>
        <w:right w:val="single" w:sz="8" w:space="0" w:color="919191" w:themeColor="accent6"/>
      </w:tcBorders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19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jusskuggning">
    <w:name w:val="Light Shading"/>
    <w:basedOn w:val="Normaltabell"/>
    <w:uiPriority w:val="60"/>
    <w:semiHidden/>
    <w:unhideWhenUsed/>
    <w:rsid w:val="00CE346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E3468"/>
    <w:pPr>
      <w:spacing w:after="0" w:line="240" w:lineRule="auto"/>
    </w:pPr>
    <w:rPr>
      <w:color w:val="0076AA" w:themeColor="accent1" w:themeShade="BF"/>
    </w:rPr>
    <w:tblPr>
      <w:tblStyleRowBandSize w:val="1"/>
      <w:tblStyleColBandSize w:val="1"/>
      <w:tblBorders>
        <w:top w:val="single" w:sz="8" w:space="0" w:color="009FE4" w:themeColor="accent1"/>
        <w:bottom w:val="single" w:sz="8" w:space="0" w:color="009F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4" w:themeColor="accent1"/>
          <w:left w:val="nil"/>
          <w:bottom w:val="single" w:sz="8" w:space="0" w:color="009F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4" w:themeColor="accent1"/>
          <w:left w:val="nil"/>
          <w:bottom w:val="single" w:sz="8" w:space="0" w:color="009F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E3468"/>
    <w:pPr>
      <w:spacing w:after="0" w:line="240" w:lineRule="auto"/>
    </w:pPr>
    <w:rPr>
      <w:color w:val="839708" w:themeColor="accent3" w:themeShade="BF"/>
    </w:rPr>
    <w:tblPr>
      <w:tblStyleRowBandSize w:val="1"/>
      <w:tblStyleColBandSize w:val="1"/>
      <w:tblBorders>
        <w:top w:val="single" w:sz="8" w:space="0" w:color="B0CB0B" w:themeColor="accent3"/>
        <w:bottom w:val="single" w:sz="8" w:space="0" w:color="B0CB0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B0B" w:themeColor="accent3"/>
          <w:left w:val="nil"/>
          <w:bottom w:val="single" w:sz="8" w:space="0" w:color="B0CB0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0CB0B" w:themeColor="accent3"/>
          <w:left w:val="nil"/>
          <w:bottom w:val="single" w:sz="8" w:space="0" w:color="B0CB0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BB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BB9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E3468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  <w:tblBorders>
        <w:top w:val="single" w:sz="8" w:space="0" w:color="FFCC00" w:themeColor="accent4"/>
        <w:bottom w:val="single" w:sz="8" w:space="0" w:color="FFCC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4"/>
          <w:left w:val="nil"/>
          <w:bottom w:val="single" w:sz="8" w:space="0" w:color="FFCC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C00" w:themeColor="accent4"/>
          <w:left w:val="nil"/>
          <w:bottom w:val="single" w:sz="8" w:space="0" w:color="FFCC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E3468"/>
    <w:pPr>
      <w:spacing w:after="0" w:line="240" w:lineRule="auto"/>
    </w:pPr>
    <w:rPr>
      <w:color w:val="D6F231" w:themeColor="accent5" w:themeShade="BF"/>
    </w:rPr>
    <w:tblPr>
      <w:tblStyleRowBandSize w:val="1"/>
      <w:tblStyleColBandSize w:val="1"/>
      <w:tblBorders>
        <w:top w:val="single" w:sz="8" w:space="0" w:color="E9F88E" w:themeColor="accent5"/>
        <w:bottom w:val="single" w:sz="8" w:space="0" w:color="E9F88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F88E" w:themeColor="accent5"/>
          <w:left w:val="nil"/>
          <w:bottom w:val="single" w:sz="8" w:space="0" w:color="E9F88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F88E" w:themeColor="accent5"/>
          <w:left w:val="nil"/>
          <w:bottom w:val="single" w:sz="8" w:space="0" w:color="E9F88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DE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DE3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E3468"/>
    <w:pPr>
      <w:spacing w:after="0" w:line="240" w:lineRule="auto"/>
    </w:pPr>
    <w:rPr>
      <w:color w:val="6C6C6C" w:themeColor="accent6" w:themeShade="BF"/>
    </w:rPr>
    <w:tblPr>
      <w:tblStyleRowBandSize w:val="1"/>
      <w:tblStyleColBandSize w:val="1"/>
      <w:tblBorders>
        <w:top w:val="single" w:sz="8" w:space="0" w:color="919191" w:themeColor="accent6"/>
        <w:bottom w:val="single" w:sz="8" w:space="0" w:color="9191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6"/>
          <w:left w:val="nil"/>
          <w:bottom w:val="single" w:sz="8" w:space="0" w:color="9191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191" w:themeColor="accent6"/>
          <w:left w:val="nil"/>
          <w:bottom w:val="single" w:sz="8" w:space="0" w:color="9191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009FE4" w:themeColor="accent1"/>
        <w:left w:val="single" w:sz="8" w:space="0" w:color="009FE4" w:themeColor="accent1"/>
        <w:bottom w:val="single" w:sz="8" w:space="0" w:color="009FE4" w:themeColor="accent1"/>
        <w:right w:val="single" w:sz="8" w:space="0" w:color="009FE4" w:themeColor="accent1"/>
        <w:insideH w:val="single" w:sz="8" w:space="0" w:color="009FE4" w:themeColor="accent1"/>
        <w:insideV w:val="single" w:sz="8" w:space="0" w:color="009F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4" w:themeColor="accent1"/>
          <w:left w:val="single" w:sz="8" w:space="0" w:color="009FE4" w:themeColor="accent1"/>
          <w:bottom w:val="single" w:sz="18" w:space="0" w:color="009FE4" w:themeColor="accent1"/>
          <w:right w:val="single" w:sz="8" w:space="0" w:color="009FE4" w:themeColor="accent1"/>
          <w:insideH w:val="nil"/>
          <w:insideV w:val="single" w:sz="8" w:space="0" w:color="009F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  <w:insideH w:val="nil"/>
          <w:insideV w:val="single" w:sz="8" w:space="0" w:color="009F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</w:tcBorders>
      </w:tcPr>
    </w:tblStylePr>
    <w:tblStylePr w:type="band1Vert">
      <w:tblPr/>
      <w:tcPr>
        <w:tcBorders>
          <w:top w:val="single" w:sz="8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</w:tcBorders>
        <w:shd w:val="clear" w:color="auto" w:fill="B9E9FF" w:themeFill="accent1" w:themeFillTint="3F"/>
      </w:tcPr>
    </w:tblStylePr>
    <w:tblStylePr w:type="band1Horz">
      <w:tblPr/>
      <w:tcPr>
        <w:tcBorders>
          <w:top w:val="single" w:sz="8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  <w:insideV w:val="single" w:sz="8" w:space="0" w:color="009FE4" w:themeColor="accent1"/>
        </w:tcBorders>
        <w:shd w:val="clear" w:color="auto" w:fill="B9E9FF" w:themeFill="accent1" w:themeFillTint="3F"/>
      </w:tcPr>
    </w:tblStylePr>
    <w:tblStylePr w:type="band2Horz">
      <w:tblPr/>
      <w:tcPr>
        <w:tcBorders>
          <w:top w:val="single" w:sz="8" w:space="0" w:color="009FE4" w:themeColor="accent1"/>
          <w:left w:val="single" w:sz="8" w:space="0" w:color="009FE4" w:themeColor="accent1"/>
          <w:bottom w:val="single" w:sz="8" w:space="0" w:color="009FE4" w:themeColor="accent1"/>
          <w:right w:val="single" w:sz="8" w:space="0" w:color="009FE4" w:themeColor="accent1"/>
          <w:insideV w:val="single" w:sz="8" w:space="0" w:color="009FE4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E6007E" w:themeColor="accent2"/>
        <w:left w:val="single" w:sz="8" w:space="0" w:color="E6007E" w:themeColor="accent2"/>
        <w:bottom w:val="single" w:sz="8" w:space="0" w:color="E6007E" w:themeColor="accent2"/>
        <w:right w:val="single" w:sz="8" w:space="0" w:color="E6007E" w:themeColor="accent2"/>
        <w:insideH w:val="single" w:sz="8" w:space="0" w:color="E6007E" w:themeColor="accent2"/>
        <w:insideV w:val="single" w:sz="8" w:space="0" w:color="E6007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18" w:space="0" w:color="E6007E" w:themeColor="accent2"/>
          <w:right w:val="single" w:sz="8" w:space="0" w:color="E6007E" w:themeColor="accent2"/>
          <w:insideH w:val="nil"/>
          <w:insideV w:val="single" w:sz="8" w:space="0" w:color="E6007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  <w:insideH w:val="nil"/>
          <w:insideV w:val="single" w:sz="8" w:space="0" w:color="E6007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</w:tcBorders>
      </w:tcPr>
    </w:tblStylePr>
    <w:tblStylePr w:type="band1Vert"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</w:tcBorders>
        <w:shd w:val="clear" w:color="auto" w:fill="FFB9DF" w:themeFill="accent2" w:themeFillTint="3F"/>
      </w:tcPr>
    </w:tblStylePr>
    <w:tblStylePr w:type="band1Horz"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  <w:insideV w:val="single" w:sz="8" w:space="0" w:color="E6007E" w:themeColor="accent2"/>
        </w:tcBorders>
        <w:shd w:val="clear" w:color="auto" w:fill="FFB9DF" w:themeFill="accent2" w:themeFillTint="3F"/>
      </w:tcPr>
    </w:tblStylePr>
    <w:tblStylePr w:type="band2Horz">
      <w:tblPr/>
      <w:tcPr>
        <w:tcBorders>
          <w:top w:val="single" w:sz="8" w:space="0" w:color="E6007E" w:themeColor="accent2"/>
          <w:left w:val="single" w:sz="8" w:space="0" w:color="E6007E" w:themeColor="accent2"/>
          <w:bottom w:val="single" w:sz="8" w:space="0" w:color="E6007E" w:themeColor="accent2"/>
          <w:right w:val="single" w:sz="8" w:space="0" w:color="E6007E" w:themeColor="accent2"/>
          <w:insideV w:val="single" w:sz="8" w:space="0" w:color="E6007E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B0CB0B" w:themeColor="accent3"/>
        <w:left w:val="single" w:sz="8" w:space="0" w:color="B0CB0B" w:themeColor="accent3"/>
        <w:bottom w:val="single" w:sz="8" w:space="0" w:color="B0CB0B" w:themeColor="accent3"/>
        <w:right w:val="single" w:sz="8" w:space="0" w:color="B0CB0B" w:themeColor="accent3"/>
        <w:insideH w:val="single" w:sz="8" w:space="0" w:color="B0CB0B" w:themeColor="accent3"/>
        <w:insideV w:val="single" w:sz="8" w:space="0" w:color="B0CB0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B0B" w:themeColor="accent3"/>
          <w:left w:val="single" w:sz="8" w:space="0" w:color="B0CB0B" w:themeColor="accent3"/>
          <w:bottom w:val="single" w:sz="18" w:space="0" w:color="B0CB0B" w:themeColor="accent3"/>
          <w:right w:val="single" w:sz="8" w:space="0" w:color="B0CB0B" w:themeColor="accent3"/>
          <w:insideH w:val="nil"/>
          <w:insideV w:val="single" w:sz="8" w:space="0" w:color="B0CB0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  <w:insideH w:val="nil"/>
          <w:insideV w:val="single" w:sz="8" w:space="0" w:color="B0CB0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</w:tcBorders>
      </w:tcPr>
    </w:tblStylePr>
    <w:tblStylePr w:type="band1Vert">
      <w:tblPr/>
      <w:tcPr>
        <w:tcBorders>
          <w:top w:val="single" w:sz="8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</w:tcBorders>
        <w:shd w:val="clear" w:color="auto" w:fill="F2FBB9" w:themeFill="accent3" w:themeFillTint="3F"/>
      </w:tcPr>
    </w:tblStylePr>
    <w:tblStylePr w:type="band1Horz">
      <w:tblPr/>
      <w:tcPr>
        <w:tcBorders>
          <w:top w:val="single" w:sz="8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  <w:insideV w:val="single" w:sz="8" w:space="0" w:color="B0CB0B" w:themeColor="accent3"/>
        </w:tcBorders>
        <w:shd w:val="clear" w:color="auto" w:fill="F2FBB9" w:themeFill="accent3" w:themeFillTint="3F"/>
      </w:tcPr>
    </w:tblStylePr>
    <w:tblStylePr w:type="band2Horz">
      <w:tblPr/>
      <w:tcPr>
        <w:tcBorders>
          <w:top w:val="single" w:sz="8" w:space="0" w:color="B0CB0B" w:themeColor="accent3"/>
          <w:left w:val="single" w:sz="8" w:space="0" w:color="B0CB0B" w:themeColor="accent3"/>
          <w:bottom w:val="single" w:sz="8" w:space="0" w:color="B0CB0B" w:themeColor="accent3"/>
          <w:right w:val="single" w:sz="8" w:space="0" w:color="B0CB0B" w:themeColor="accent3"/>
          <w:insideV w:val="single" w:sz="8" w:space="0" w:color="B0CB0B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FFCC00" w:themeColor="accent4"/>
        <w:left w:val="single" w:sz="8" w:space="0" w:color="FFCC00" w:themeColor="accent4"/>
        <w:bottom w:val="single" w:sz="8" w:space="0" w:color="FFCC00" w:themeColor="accent4"/>
        <w:right w:val="single" w:sz="8" w:space="0" w:color="FFCC00" w:themeColor="accent4"/>
        <w:insideH w:val="single" w:sz="8" w:space="0" w:color="FFCC00" w:themeColor="accent4"/>
        <w:insideV w:val="single" w:sz="8" w:space="0" w:color="FFCC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C00" w:themeColor="accent4"/>
          <w:left w:val="single" w:sz="8" w:space="0" w:color="FFCC00" w:themeColor="accent4"/>
          <w:bottom w:val="single" w:sz="18" w:space="0" w:color="FFCC00" w:themeColor="accent4"/>
          <w:right w:val="single" w:sz="8" w:space="0" w:color="FFCC00" w:themeColor="accent4"/>
          <w:insideH w:val="nil"/>
          <w:insideV w:val="single" w:sz="8" w:space="0" w:color="FFCC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  <w:insideH w:val="nil"/>
          <w:insideV w:val="single" w:sz="8" w:space="0" w:color="FFCC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</w:tcBorders>
      </w:tcPr>
    </w:tblStylePr>
    <w:tblStylePr w:type="band1Vert">
      <w:tblPr/>
      <w:tcPr>
        <w:tcBorders>
          <w:top w:val="single" w:sz="8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</w:tcBorders>
        <w:shd w:val="clear" w:color="auto" w:fill="FFF2C0" w:themeFill="accent4" w:themeFillTint="3F"/>
      </w:tcPr>
    </w:tblStylePr>
    <w:tblStylePr w:type="band1Horz">
      <w:tblPr/>
      <w:tcPr>
        <w:tcBorders>
          <w:top w:val="single" w:sz="8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  <w:insideV w:val="single" w:sz="8" w:space="0" w:color="FFCC00" w:themeColor="accent4"/>
        </w:tcBorders>
        <w:shd w:val="clear" w:color="auto" w:fill="FFF2C0" w:themeFill="accent4" w:themeFillTint="3F"/>
      </w:tcPr>
    </w:tblStylePr>
    <w:tblStylePr w:type="band2Horz">
      <w:tblPr/>
      <w:tcPr>
        <w:tcBorders>
          <w:top w:val="single" w:sz="8" w:space="0" w:color="FFCC00" w:themeColor="accent4"/>
          <w:left w:val="single" w:sz="8" w:space="0" w:color="FFCC00" w:themeColor="accent4"/>
          <w:bottom w:val="single" w:sz="8" w:space="0" w:color="FFCC00" w:themeColor="accent4"/>
          <w:right w:val="single" w:sz="8" w:space="0" w:color="FFCC00" w:themeColor="accent4"/>
          <w:insideV w:val="single" w:sz="8" w:space="0" w:color="FFCC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E9F88E" w:themeColor="accent5"/>
        <w:left w:val="single" w:sz="8" w:space="0" w:color="E9F88E" w:themeColor="accent5"/>
        <w:bottom w:val="single" w:sz="8" w:space="0" w:color="E9F88E" w:themeColor="accent5"/>
        <w:right w:val="single" w:sz="8" w:space="0" w:color="E9F88E" w:themeColor="accent5"/>
        <w:insideH w:val="single" w:sz="8" w:space="0" w:color="E9F88E" w:themeColor="accent5"/>
        <w:insideV w:val="single" w:sz="8" w:space="0" w:color="E9F88E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18" w:space="0" w:color="E9F88E" w:themeColor="accent5"/>
          <w:right w:val="single" w:sz="8" w:space="0" w:color="E9F88E" w:themeColor="accent5"/>
          <w:insideH w:val="nil"/>
          <w:insideV w:val="single" w:sz="8" w:space="0" w:color="E9F88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  <w:insideH w:val="nil"/>
          <w:insideV w:val="single" w:sz="8" w:space="0" w:color="E9F88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</w:tcBorders>
      </w:tcPr>
    </w:tblStylePr>
    <w:tblStylePr w:type="band1Vert"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</w:tcBorders>
        <w:shd w:val="clear" w:color="auto" w:fill="F9FDE3" w:themeFill="accent5" w:themeFillTint="3F"/>
      </w:tcPr>
    </w:tblStylePr>
    <w:tblStylePr w:type="band1Horz"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  <w:insideV w:val="single" w:sz="8" w:space="0" w:color="E9F88E" w:themeColor="accent5"/>
        </w:tcBorders>
        <w:shd w:val="clear" w:color="auto" w:fill="F9FDE3" w:themeFill="accent5" w:themeFillTint="3F"/>
      </w:tcPr>
    </w:tblStylePr>
    <w:tblStylePr w:type="band2Horz">
      <w:tblPr/>
      <w:tcPr>
        <w:tcBorders>
          <w:top w:val="single" w:sz="8" w:space="0" w:color="E9F88E" w:themeColor="accent5"/>
          <w:left w:val="single" w:sz="8" w:space="0" w:color="E9F88E" w:themeColor="accent5"/>
          <w:bottom w:val="single" w:sz="8" w:space="0" w:color="E9F88E" w:themeColor="accent5"/>
          <w:right w:val="single" w:sz="8" w:space="0" w:color="E9F88E" w:themeColor="accent5"/>
          <w:insideV w:val="single" w:sz="8" w:space="0" w:color="E9F88E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919191" w:themeColor="accent6"/>
        <w:left w:val="single" w:sz="8" w:space="0" w:color="919191" w:themeColor="accent6"/>
        <w:bottom w:val="single" w:sz="8" w:space="0" w:color="919191" w:themeColor="accent6"/>
        <w:right w:val="single" w:sz="8" w:space="0" w:color="919191" w:themeColor="accent6"/>
        <w:insideH w:val="single" w:sz="8" w:space="0" w:color="919191" w:themeColor="accent6"/>
        <w:insideV w:val="single" w:sz="8" w:space="0" w:color="91919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6"/>
          <w:left w:val="single" w:sz="8" w:space="0" w:color="919191" w:themeColor="accent6"/>
          <w:bottom w:val="single" w:sz="18" w:space="0" w:color="919191" w:themeColor="accent6"/>
          <w:right w:val="single" w:sz="8" w:space="0" w:color="919191" w:themeColor="accent6"/>
          <w:insideH w:val="nil"/>
          <w:insideV w:val="single" w:sz="8" w:space="0" w:color="91919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  <w:insideH w:val="nil"/>
          <w:insideV w:val="single" w:sz="8" w:space="0" w:color="91919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</w:tcBorders>
      </w:tcPr>
    </w:tblStylePr>
    <w:tblStylePr w:type="band1Vert">
      <w:tblPr/>
      <w:tcPr>
        <w:tcBorders>
          <w:top w:val="single" w:sz="8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</w:tcBorders>
        <w:shd w:val="clear" w:color="auto" w:fill="E3E3E3" w:themeFill="accent6" w:themeFillTint="3F"/>
      </w:tcPr>
    </w:tblStylePr>
    <w:tblStylePr w:type="band1Horz">
      <w:tblPr/>
      <w:tcPr>
        <w:tcBorders>
          <w:top w:val="single" w:sz="8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  <w:insideV w:val="single" w:sz="8" w:space="0" w:color="919191" w:themeColor="accent6"/>
        </w:tcBorders>
        <w:shd w:val="clear" w:color="auto" w:fill="E3E3E3" w:themeFill="accent6" w:themeFillTint="3F"/>
      </w:tcPr>
    </w:tblStylePr>
    <w:tblStylePr w:type="band2Horz">
      <w:tblPr/>
      <w:tcPr>
        <w:tcBorders>
          <w:top w:val="single" w:sz="8" w:space="0" w:color="919191" w:themeColor="accent6"/>
          <w:left w:val="single" w:sz="8" w:space="0" w:color="919191" w:themeColor="accent6"/>
          <w:bottom w:val="single" w:sz="8" w:space="0" w:color="919191" w:themeColor="accent6"/>
          <w:right w:val="single" w:sz="8" w:space="0" w:color="919191" w:themeColor="accent6"/>
          <w:insideV w:val="single" w:sz="8" w:space="0" w:color="919191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E34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E3468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E34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E3468"/>
    <w:rPr>
      <w:rFonts w:asciiTheme="majorHAnsi" w:eastAsiaTheme="majorEastAsia" w:hAnsiTheme="majorHAnsi" w:cstheme="majorBidi"/>
      <w:sz w:val="24"/>
      <w:szCs w:val="24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C0C0C0" w:themeFill="tex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B9E9FF" w:themeFill="accent1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E4" w:themeColor="accent1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009FE4" w:themeColor="accent1"/>
          <w:bottom w:val="single" w:sz="8" w:space="0" w:color="009F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E4" w:themeColor="accent1"/>
          <w:bottom w:val="single" w:sz="8" w:space="0" w:color="009FE4" w:themeColor="accent1"/>
        </w:tcBorders>
      </w:tcPr>
    </w:tblStylePr>
    <w:tblStylePr w:type="band1Vert">
      <w:tblPr/>
      <w:tcPr>
        <w:shd w:val="clear" w:color="auto" w:fill="B9E9FF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B9DF" w:themeFill="accent2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007E" w:themeColor="accent2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E6007E" w:themeColor="accent2"/>
          <w:bottom w:val="single" w:sz="8" w:space="0" w:color="E6007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007E" w:themeColor="accent2"/>
          <w:bottom w:val="single" w:sz="8" w:space="0" w:color="E6007E" w:themeColor="accent2"/>
        </w:tcBorders>
      </w:tcPr>
    </w:tblStylePr>
    <w:tblStylePr w:type="band1Vert">
      <w:tblPr/>
      <w:tcPr>
        <w:shd w:val="clear" w:color="auto" w:fill="FFB9DF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BB9" w:themeFill="accent3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0CB0B" w:themeColor="accent3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B0CB0B" w:themeColor="accent3"/>
          <w:bottom w:val="single" w:sz="8" w:space="0" w:color="B0CB0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0CB0B" w:themeColor="accent3"/>
          <w:bottom w:val="single" w:sz="8" w:space="0" w:color="B0CB0B" w:themeColor="accent3"/>
        </w:tcBorders>
      </w:tcPr>
    </w:tblStylePr>
    <w:tblStylePr w:type="band1Vert">
      <w:tblPr/>
      <w:tcPr>
        <w:shd w:val="clear" w:color="auto" w:fill="F2FBB9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2C0" w:themeFill="accent4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C00" w:themeColor="accent4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FFCC00" w:themeColor="accent4"/>
          <w:bottom w:val="single" w:sz="8" w:space="0" w:color="FF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C00" w:themeColor="accent4"/>
          <w:bottom w:val="single" w:sz="8" w:space="0" w:color="FFCC00" w:themeColor="accent4"/>
        </w:tcBorders>
      </w:tcPr>
    </w:tblStylePr>
    <w:tblStylePr w:type="band1Vert">
      <w:tblPr/>
      <w:tcPr>
        <w:shd w:val="clear" w:color="auto" w:fill="FFF2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3" w:themeFill="accent5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F88E" w:themeColor="accent5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E9F88E" w:themeColor="accent5"/>
          <w:bottom w:val="single" w:sz="8" w:space="0" w:color="E9F8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F88E" w:themeColor="accent5"/>
          <w:bottom w:val="single" w:sz="8" w:space="0" w:color="E9F88E" w:themeColor="accent5"/>
        </w:tcBorders>
      </w:tcPr>
    </w:tblStylePr>
    <w:tblStylePr w:type="band1Vert">
      <w:tblPr/>
      <w:tcPr>
        <w:shd w:val="clear" w:color="auto" w:fill="F9FDE3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E3E3" w:themeFill="accent6" w:themeFillTint="3F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191" w:themeColor="accent6"/>
        </w:tcBorders>
      </w:tcPr>
    </w:tblStylePr>
    <w:tblStylePr w:type="lastRow">
      <w:rPr>
        <w:b/>
        <w:bCs/>
        <w:color w:val="919191" w:themeColor="text2"/>
      </w:rPr>
      <w:tblPr/>
      <w:tcPr>
        <w:tcBorders>
          <w:top w:val="single" w:sz="8" w:space="0" w:color="919191" w:themeColor="accent6"/>
          <w:bottom w:val="single" w:sz="8" w:space="0" w:color="9191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191" w:themeColor="accent6"/>
          <w:bottom w:val="single" w:sz="8" w:space="0" w:color="919191" w:themeColor="accent6"/>
        </w:tcBorders>
      </w:tcPr>
    </w:tblStylePr>
    <w:tblStylePr w:type="band1Vert">
      <w:tblPr/>
      <w:tcPr>
        <w:shd w:val="clear" w:color="auto" w:fill="E3E3E3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4" w:themeColor="accent1"/>
        <w:left w:val="single" w:sz="8" w:space="0" w:color="009FE4" w:themeColor="accent1"/>
        <w:bottom w:val="single" w:sz="8" w:space="0" w:color="009FE4" w:themeColor="accent1"/>
        <w:right w:val="single" w:sz="8" w:space="0" w:color="009F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7E" w:themeColor="accent2"/>
        <w:left w:val="single" w:sz="8" w:space="0" w:color="E6007E" w:themeColor="accent2"/>
        <w:bottom w:val="single" w:sz="8" w:space="0" w:color="E6007E" w:themeColor="accent2"/>
        <w:right w:val="single" w:sz="8" w:space="0" w:color="E6007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007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007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007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9D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9D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CB0B" w:themeColor="accent3"/>
        <w:left w:val="single" w:sz="8" w:space="0" w:color="B0CB0B" w:themeColor="accent3"/>
        <w:bottom w:val="single" w:sz="8" w:space="0" w:color="B0CB0B" w:themeColor="accent3"/>
        <w:right w:val="single" w:sz="8" w:space="0" w:color="B0CB0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0CB0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0CB0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0CB0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BB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BB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C00" w:themeColor="accent4"/>
        <w:left w:val="single" w:sz="8" w:space="0" w:color="FFCC00" w:themeColor="accent4"/>
        <w:bottom w:val="single" w:sz="8" w:space="0" w:color="FFCC00" w:themeColor="accent4"/>
        <w:right w:val="single" w:sz="8" w:space="0" w:color="FFCC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C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C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C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F88E" w:themeColor="accent5"/>
        <w:left w:val="single" w:sz="8" w:space="0" w:color="E9F88E" w:themeColor="accent5"/>
        <w:bottom w:val="single" w:sz="8" w:space="0" w:color="E9F88E" w:themeColor="accent5"/>
        <w:right w:val="single" w:sz="8" w:space="0" w:color="E9F88E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F88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F88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F88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DE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DE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6"/>
        <w:left w:val="single" w:sz="8" w:space="0" w:color="919191" w:themeColor="accent6"/>
        <w:bottom w:val="single" w:sz="8" w:space="0" w:color="919191" w:themeColor="accent6"/>
        <w:right w:val="single" w:sz="8" w:space="0" w:color="91919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19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19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19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3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3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</w:tcBorders>
      <w:shd w:val="clear" w:color="auto" w:fill="C0C0C0" w:themeFill="tex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2BBEFF" w:themeColor="accent1" w:themeTint="BF"/>
        <w:left w:val="single" w:sz="8" w:space="0" w:color="2BBEFF" w:themeColor="accent1" w:themeTint="BF"/>
        <w:bottom w:val="single" w:sz="8" w:space="0" w:color="2BBEFF" w:themeColor="accent1" w:themeTint="BF"/>
        <w:right w:val="single" w:sz="8" w:space="0" w:color="2BBEFF" w:themeColor="accent1" w:themeTint="BF"/>
      </w:tcBorders>
      <w:shd w:val="clear" w:color="auto" w:fill="B9E9FF" w:themeFill="accent1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EFF" w:themeColor="accent1" w:themeTint="BF"/>
          <w:left w:val="single" w:sz="8" w:space="0" w:color="2BBEFF" w:themeColor="accent1" w:themeTint="BF"/>
          <w:bottom w:val="single" w:sz="8" w:space="0" w:color="2BBEFF" w:themeColor="accent1" w:themeTint="BF"/>
          <w:right w:val="single" w:sz="8" w:space="0" w:color="2BBEFF" w:themeColor="accent1" w:themeTint="BF"/>
          <w:insideH w:val="nil"/>
          <w:insideV w:val="nil"/>
        </w:tcBorders>
        <w:shd w:val="clear" w:color="auto" w:fill="009FE4" w:themeFill="accent1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FF2D9F" w:themeColor="accent2" w:themeTint="BF"/>
        <w:left w:val="single" w:sz="8" w:space="0" w:color="FF2D9F" w:themeColor="accent2" w:themeTint="BF"/>
        <w:bottom w:val="single" w:sz="8" w:space="0" w:color="FF2D9F" w:themeColor="accent2" w:themeTint="BF"/>
        <w:right w:val="single" w:sz="8" w:space="0" w:color="FF2D9F" w:themeColor="accent2" w:themeTint="BF"/>
      </w:tcBorders>
      <w:shd w:val="clear" w:color="auto" w:fill="FFB9DF" w:themeFill="accent2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2D9F" w:themeColor="accent2" w:themeTint="BF"/>
          <w:left w:val="single" w:sz="8" w:space="0" w:color="FF2D9F" w:themeColor="accent2" w:themeTint="BF"/>
          <w:bottom w:val="single" w:sz="8" w:space="0" w:color="FF2D9F" w:themeColor="accent2" w:themeTint="BF"/>
          <w:right w:val="single" w:sz="8" w:space="0" w:color="FF2D9F" w:themeColor="accent2" w:themeTint="BF"/>
          <w:insideH w:val="nil"/>
          <w:insideV w:val="nil"/>
        </w:tcBorders>
        <w:shd w:val="clear" w:color="auto" w:fill="E6007E" w:themeFill="accent2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D7F32C" w:themeColor="accent3" w:themeTint="BF"/>
        <w:left w:val="single" w:sz="8" w:space="0" w:color="D7F32C" w:themeColor="accent3" w:themeTint="BF"/>
        <w:bottom w:val="single" w:sz="8" w:space="0" w:color="D7F32C" w:themeColor="accent3" w:themeTint="BF"/>
        <w:right w:val="single" w:sz="8" w:space="0" w:color="D7F32C" w:themeColor="accent3" w:themeTint="BF"/>
      </w:tcBorders>
      <w:shd w:val="clear" w:color="auto" w:fill="F2FBB9" w:themeFill="accent3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7F32C" w:themeColor="accent3" w:themeTint="BF"/>
          <w:left w:val="single" w:sz="8" w:space="0" w:color="D7F32C" w:themeColor="accent3" w:themeTint="BF"/>
          <w:bottom w:val="single" w:sz="8" w:space="0" w:color="D7F32C" w:themeColor="accent3" w:themeTint="BF"/>
          <w:right w:val="single" w:sz="8" w:space="0" w:color="D7F32C" w:themeColor="accent3" w:themeTint="BF"/>
          <w:insideH w:val="nil"/>
          <w:insideV w:val="nil"/>
        </w:tcBorders>
        <w:shd w:val="clear" w:color="auto" w:fill="B0CB0B" w:themeFill="accent3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FFD840" w:themeColor="accent4" w:themeTint="BF"/>
        <w:left w:val="single" w:sz="8" w:space="0" w:color="FFD840" w:themeColor="accent4" w:themeTint="BF"/>
        <w:bottom w:val="single" w:sz="8" w:space="0" w:color="FFD840" w:themeColor="accent4" w:themeTint="BF"/>
        <w:right w:val="single" w:sz="8" w:space="0" w:color="FFD840" w:themeColor="accent4" w:themeTint="BF"/>
      </w:tcBorders>
      <w:shd w:val="clear" w:color="auto" w:fill="FFF2C0" w:themeFill="accent4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840" w:themeColor="accent4" w:themeTint="BF"/>
          <w:left w:val="single" w:sz="8" w:space="0" w:color="FFD840" w:themeColor="accent4" w:themeTint="BF"/>
          <w:bottom w:val="single" w:sz="8" w:space="0" w:color="FFD840" w:themeColor="accent4" w:themeTint="BF"/>
          <w:right w:val="single" w:sz="8" w:space="0" w:color="FFD840" w:themeColor="accent4" w:themeTint="BF"/>
          <w:insideH w:val="nil"/>
          <w:insideV w:val="nil"/>
        </w:tcBorders>
        <w:shd w:val="clear" w:color="auto" w:fill="FFCC00" w:themeFill="accent4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EEF9AA" w:themeColor="accent5" w:themeTint="BF"/>
        <w:left w:val="single" w:sz="8" w:space="0" w:color="EEF9AA" w:themeColor="accent5" w:themeTint="BF"/>
        <w:bottom w:val="single" w:sz="8" w:space="0" w:color="EEF9AA" w:themeColor="accent5" w:themeTint="BF"/>
        <w:right w:val="single" w:sz="8" w:space="0" w:color="EEF9AA" w:themeColor="accent5" w:themeTint="BF"/>
      </w:tcBorders>
      <w:shd w:val="clear" w:color="auto" w:fill="F9FDE3" w:themeFill="accent5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F9AA" w:themeColor="accent5" w:themeTint="BF"/>
          <w:left w:val="single" w:sz="8" w:space="0" w:color="EEF9AA" w:themeColor="accent5" w:themeTint="BF"/>
          <w:bottom w:val="single" w:sz="8" w:space="0" w:color="EEF9AA" w:themeColor="accent5" w:themeTint="BF"/>
          <w:right w:val="single" w:sz="8" w:space="0" w:color="EEF9AA" w:themeColor="accent5" w:themeTint="BF"/>
          <w:insideH w:val="nil"/>
          <w:insideV w:val="nil"/>
        </w:tcBorders>
        <w:shd w:val="clear" w:color="auto" w:fill="E9F88E" w:themeFill="accent5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double" w:sz="6" w:space="0" w:color="ACACAC" w:themeColor="accent6" w:themeTint="BF"/>
        <w:left w:val="single" w:sz="8" w:space="0" w:color="ACACAC" w:themeColor="accent6" w:themeTint="BF"/>
        <w:bottom w:val="single" w:sz="8" w:space="0" w:color="ACACAC" w:themeColor="accent6" w:themeTint="BF"/>
        <w:right w:val="single" w:sz="8" w:space="0" w:color="ACACAC" w:themeColor="accent6" w:themeTint="BF"/>
      </w:tcBorders>
      <w:shd w:val="clear" w:color="auto" w:fill="E3E3E3" w:themeFill="accent6" w:themeFillTint="3F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CAC" w:themeColor="accent6" w:themeTint="BF"/>
          <w:left w:val="single" w:sz="8" w:space="0" w:color="ACACAC" w:themeColor="accent6" w:themeTint="BF"/>
          <w:bottom w:val="single" w:sz="8" w:space="0" w:color="ACACAC" w:themeColor="accent6" w:themeTint="BF"/>
          <w:right w:val="single" w:sz="8" w:space="0" w:color="ACACAC" w:themeColor="accent6" w:themeTint="BF"/>
          <w:insideH w:val="nil"/>
          <w:insideV w:val="nil"/>
        </w:tcBorders>
        <w:shd w:val="clear" w:color="auto" w:fill="919191" w:themeFill="accent6"/>
      </w:tcPr>
    </w:tblStylePr>
    <w:tblStylePr w:type="lastRow">
      <w:pPr>
        <w:spacing w:before="0" w:after="0" w:line="240" w:lineRule="auto"/>
      </w:pPr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ellanmrkskuggning2">
    <w:name w:val="Medium Shading 2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F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007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007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007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0CB0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CB0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0CB0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C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C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F88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8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F88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19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1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19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2BBEFF" w:themeColor="accent1" w:themeTint="BF"/>
        <w:left w:val="single" w:sz="8" w:space="0" w:color="2BBEFF" w:themeColor="accent1" w:themeTint="BF"/>
        <w:bottom w:val="single" w:sz="8" w:space="0" w:color="2BBEFF" w:themeColor="accent1" w:themeTint="BF"/>
        <w:right w:val="single" w:sz="8" w:space="0" w:color="2BBEFF" w:themeColor="accent1" w:themeTint="BF"/>
        <w:insideH w:val="single" w:sz="8" w:space="0" w:color="2BBEFF" w:themeColor="accent1" w:themeTint="BF"/>
        <w:insideV w:val="single" w:sz="8" w:space="0" w:color="2BBEFF" w:themeColor="accent1" w:themeTint="BF"/>
      </w:tblBorders>
    </w:tblPr>
    <w:tcPr>
      <w:shd w:val="clear" w:color="auto" w:fill="B9E9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3FF" w:themeFill="accent1" w:themeFillTint="7F"/>
      </w:tcPr>
    </w:tblStylePr>
    <w:tblStylePr w:type="band1Horz">
      <w:tblPr/>
      <w:tcPr>
        <w:shd w:val="clear" w:color="auto" w:fill="72D3FF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FF2D9F" w:themeColor="accent2" w:themeTint="BF"/>
        <w:left w:val="single" w:sz="8" w:space="0" w:color="FF2D9F" w:themeColor="accent2" w:themeTint="BF"/>
        <w:bottom w:val="single" w:sz="8" w:space="0" w:color="FF2D9F" w:themeColor="accent2" w:themeTint="BF"/>
        <w:right w:val="single" w:sz="8" w:space="0" w:color="FF2D9F" w:themeColor="accent2" w:themeTint="BF"/>
        <w:insideH w:val="single" w:sz="8" w:space="0" w:color="FF2D9F" w:themeColor="accent2" w:themeTint="BF"/>
        <w:insideV w:val="single" w:sz="8" w:space="0" w:color="FF2D9F" w:themeColor="accent2" w:themeTint="BF"/>
      </w:tblBorders>
    </w:tblPr>
    <w:tcPr>
      <w:shd w:val="clear" w:color="auto" w:fill="FFB9D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2D9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73BF" w:themeFill="accent2" w:themeFillTint="7F"/>
      </w:tcPr>
    </w:tblStylePr>
    <w:tblStylePr w:type="band1Horz">
      <w:tblPr/>
      <w:tcPr>
        <w:shd w:val="clear" w:color="auto" w:fill="FF73BF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D7F32C" w:themeColor="accent3" w:themeTint="BF"/>
        <w:left w:val="single" w:sz="8" w:space="0" w:color="D7F32C" w:themeColor="accent3" w:themeTint="BF"/>
        <w:bottom w:val="single" w:sz="8" w:space="0" w:color="D7F32C" w:themeColor="accent3" w:themeTint="BF"/>
        <w:right w:val="single" w:sz="8" w:space="0" w:color="D7F32C" w:themeColor="accent3" w:themeTint="BF"/>
        <w:insideH w:val="single" w:sz="8" w:space="0" w:color="D7F32C" w:themeColor="accent3" w:themeTint="BF"/>
        <w:insideV w:val="single" w:sz="8" w:space="0" w:color="D7F32C" w:themeColor="accent3" w:themeTint="BF"/>
      </w:tblBorders>
    </w:tblPr>
    <w:tcPr>
      <w:shd w:val="clear" w:color="auto" w:fill="F2FBB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7F32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772" w:themeFill="accent3" w:themeFillTint="7F"/>
      </w:tcPr>
    </w:tblStylePr>
    <w:tblStylePr w:type="band1Horz">
      <w:tblPr/>
      <w:tcPr>
        <w:shd w:val="clear" w:color="auto" w:fill="E4F77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FFD840" w:themeColor="accent4" w:themeTint="BF"/>
        <w:left w:val="single" w:sz="8" w:space="0" w:color="FFD840" w:themeColor="accent4" w:themeTint="BF"/>
        <w:bottom w:val="single" w:sz="8" w:space="0" w:color="FFD840" w:themeColor="accent4" w:themeTint="BF"/>
        <w:right w:val="single" w:sz="8" w:space="0" w:color="FFD840" w:themeColor="accent4" w:themeTint="BF"/>
        <w:insideH w:val="single" w:sz="8" w:space="0" w:color="FFD840" w:themeColor="accent4" w:themeTint="BF"/>
        <w:insideV w:val="single" w:sz="8" w:space="0" w:color="FFD840" w:themeColor="accent4" w:themeTint="BF"/>
      </w:tblBorders>
    </w:tblPr>
    <w:tcPr>
      <w:shd w:val="clear" w:color="auto" w:fill="FFF2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8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580" w:themeFill="accent4" w:themeFillTint="7F"/>
      </w:tcPr>
    </w:tblStylePr>
    <w:tblStylePr w:type="band1Horz">
      <w:tblPr/>
      <w:tcPr>
        <w:shd w:val="clear" w:color="auto" w:fill="FFE5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EEF9AA" w:themeColor="accent5" w:themeTint="BF"/>
        <w:left w:val="single" w:sz="8" w:space="0" w:color="EEF9AA" w:themeColor="accent5" w:themeTint="BF"/>
        <w:bottom w:val="single" w:sz="8" w:space="0" w:color="EEF9AA" w:themeColor="accent5" w:themeTint="BF"/>
        <w:right w:val="single" w:sz="8" w:space="0" w:color="EEF9AA" w:themeColor="accent5" w:themeTint="BF"/>
        <w:insideH w:val="single" w:sz="8" w:space="0" w:color="EEF9AA" w:themeColor="accent5" w:themeTint="BF"/>
        <w:insideV w:val="single" w:sz="8" w:space="0" w:color="EEF9AA" w:themeColor="accent5" w:themeTint="BF"/>
      </w:tblBorders>
    </w:tblPr>
    <w:tcPr>
      <w:shd w:val="clear" w:color="auto" w:fill="F9FDE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F9A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BC6" w:themeFill="accent5" w:themeFillTint="7F"/>
      </w:tcPr>
    </w:tblStylePr>
    <w:tblStylePr w:type="band1Horz">
      <w:tblPr/>
      <w:tcPr>
        <w:shd w:val="clear" w:color="auto" w:fill="F3FBC6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E3468"/>
    <w:pPr>
      <w:spacing w:after="0" w:line="240" w:lineRule="auto"/>
    </w:pPr>
    <w:tblPr>
      <w:tblStyleRowBandSize w:val="1"/>
      <w:tblStyleColBandSize w:val="1"/>
      <w:tblBorders>
        <w:top w:val="single" w:sz="8" w:space="0" w:color="ACACAC" w:themeColor="accent6" w:themeTint="BF"/>
        <w:left w:val="single" w:sz="8" w:space="0" w:color="ACACAC" w:themeColor="accent6" w:themeTint="BF"/>
        <w:bottom w:val="single" w:sz="8" w:space="0" w:color="ACACAC" w:themeColor="accent6" w:themeTint="BF"/>
        <w:right w:val="single" w:sz="8" w:space="0" w:color="ACACAC" w:themeColor="accent6" w:themeTint="BF"/>
        <w:insideH w:val="single" w:sz="8" w:space="0" w:color="ACACAC" w:themeColor="accent6" w:themeTint="BF"/>
        <w:insideV w:val="single" w:sz="8" w:space="0" w:color="ACACAC" w:themeColor="accent6" w:themeTint="BF"/>
      </w:tblBorders>
    </w:tblPr>
    <w:tcPr>
      <w:shd w:val="clear" w:color="auto" w:fill="E3E3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CA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accent6" w:themeFillTint="7F"/>
      </w:tcPr>
    </w:tblStylePr>
    <w:tblStylePr w:type="band1Horz">
      <w:tblPr/>
      <w:tcPr>
        <w:shd w:val="clear" w:color="auto" w:fill="C8C8C8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4" w:themeColor="accent1"/>
        <w:left w:val="single" w:sz="8" w:space="0" w:color="009FE4" w:themeColor="accent1"/>
        <w:bottom w:val="single" w:sz="8" w:space="0" w:color="009FE4" w:themeColor="accent1"/>
        <w:right w:val="single" w:sz="8" w:space="0" w:color="009FE4" w:themeColor="accent1"/>
        <w:insideH w:val="single" w:sz="8" w:space="0" w:color="009FE4" w:themeColor="accent1"/>
        <w:insideV w:val="single" w:sz="8" w:space="0" w:color="009FE4" w:themeColor="accent1"/>
      </w:tblBorders>
    </w:tblPr>
    <w:tcPr>
      <w:shd w:val="clear" w:color="auto" w:fill="B9E9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F" w:themeFill="accent1" w:themeFillTint="33"/>
      </w:tcPr>
    </w:tblStylePr>
    <w:tblStylePr w:type="band1Vert">
      <w:tblPr/>
      <w:tcPr>
        <w:shd w:val="clear" w:color="auto" w:fill="72D3FF" w:themeFill="accent1" w:themeFillTint="7F"/>
      </w:tcPr>
    </w:tblStylePr>
    <w:tblStylePr w:type="band1Horz">
      <w:tblPr/>
      <w:tcPr>
        <w:tcBorders>
          <w:insideH w:val="single" w:sz="6" w:space="0" w:color="009FE4" w:themeColor="accent1"/>
          <w:insideV w:val="single" w:sz="6" w:space="0" w:color="009FE4" w:themeColor="accent1"/>
        </w:tcBorders>
        <w:shd w:val="clear" w:color="auto" w:fill="72D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007E" w:themeColor="accent2"/>
        <w:left w:val="single" w:sz="8" w:space="0" w:color="E6007E" w:themeColor="accent2"/>
        <w:bottom w:val="single" w:sz="8" w:space="0" w:color="E6007E" w:themeColor="accent2"/>
        <w:right w:val="single" w:sz="8" w:space="0" w:color="E6007E" w:themeColor="accent2"/>
        <w:insideH w:val="single" w:sz="8" w:space="0" w:color="E6007E" w:themeColor="accent2"/>
        <w:insideV w:val="single" w:sz="8" w:space="0" w:color="E6007E" w:themeColor="accent2"/>
      </w:tblBorders>
    </w:tblPr>
    <w:tcPr>
      <w:shd w:val="clear" w:color="auto" w:fill="FFB9D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3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7E5" w:themeFill="accent2" w:themeFillTint="33"/>
      </w:tcPr>
    </w:tblStylePr>
    <w:tblStylePr w:type="band1Vert">
      <w:tblPr/>
      <w:tcPr>
        <w:shd w:val="clear" w:color="auto" w:fill="FF73BF" w:themeFill="accent2" w:themeFillTint="7F"/>
      </w:tcPr>
    </w:tblStylePr>
    <w:tblStylePr w:type="band1Horz">
      <w:tblPr/>
      <w:tcPr>
        <w:tcBorders>
          <w:insideH w:val="single" w:sz="6" w:space="0" w:color="E6007E" w:themeColor="accent2"/>
          <w:insideV w:val="single" w:sz="6" w:space="0" w:color="E6007E" w:themeColor="accent2"/>
        </w:tcBorders>
        <w:shd w:val="clear" w:color="auto" w:fill="FF73B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0CB0B" w:themeColor="accent3"/>
        <w:left w:val="single" w:sz="8" w:space="0" w:color="B0CB0B" w:themeColor="accent3"/>
        <w:bottom w:val="single" w:sz="8" w:space="0" w:color="B0CB0B" w:themeColor="accent3"/>
        <w:right w:val="single" w:sz="8" w:space="0" w:color="B0CB0B" w:themeColor="accent3"/>
        <w:insideH w:val="single" w:sz="8" w:space="0" w:color="B0CB0B" w:themeColor="accent3"/>
        <w:insideV w:val="single" w:sz="8" w:space="0" w:color="B0CB0B" w:themeColor="accent3"/>
      </w:tblBorders>
    </w:tblPr>
    <w:tcPr>
      <w:shd w:val="clear" w:color="auto" w:fill="F2FBB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CC6" w:themeFill="accent3" w:themeFillTint="33"/>
      </w:tcPr>
    </w:tblStylePr>
    <w:tblStylePr w:type="band1Vert">
      <w:tblPr/>
      <w:tcPr>
        <w:shd w:val="clear" w:color="auto" w:fill="E4F772" w:themeFill="accent3" w:themeFillTint="7F"/>
      </w:tcPr>
    </w:tblStylePr>
    <w:tblStylePr w:type="band1Horz">
      <w:tblPr/>
      <w:tcPr>
        <w:tcBorders>
          <w:insideH w:val="single" w:sz="6" w:space="0" w:color="B0CB0B" w:themeColor="accent3"/>
          <w:insideV w:val="single" w:sz="6" w:space="0" w:color="B0CB0B" w:themeColor="accent3"/>
        </w:tcBorders>
        <w:shd w:val="clear" w:color="auto" w:fill="E4F77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C00" w:themeColor="accent4"/>
        <w:left w:val="single" w:sz="8" w:space="0" w:color="FFCC00" w:themeColor="accent4"/>
        <w:bottom w:val="single" w:sz="8" w:space="0" w:color="FFCC00" w:themeColor="accent4"/>
        <w:right w:val="single" w:sz="8" w:space="0" w:color="FFCC00" w:themeColor="accent4"/>
        <w:insideH w:val="single" w:sz="8" w:space="0" w:color="FFCC00" w:themeColor="accent4"/>
        <w:insideV w:val="single" w:sz="8" w:space="0" w:color="FFCC00" w:themeColor="accent4"/>
      </w:tblBorders>
    </w:tblPr>
    <w:tcPr>
      <w:shd w:val="clear" w:color="auto" w:fill="FFF2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4CC" w:themeFill="accent4" w:themeFillTint="33"/>
      </w:tcPr>
    </w:tblStylePr>
    <w:tblStylePr w:type="band1Vert">
      <w:tblPr/>
      <w:tcPr>
        <w:shd w:val="clear" w:color="auto" w:fill="FFE580" w:themeFill="accent4" w:themeFillTint="7F"/>
      </w:tcPr>
    </w:tblStylePr>
    <w:tblStylePr w:type="band1Horz">
      <w:tblPr/>
      <w:tcPr>
        <w:tcBorders>
          <w:insideH w:val="single" w:sz="6" w:space="0" w:color="FFCC00" w:themeColor="accent4"/>
          <w:insideV w:val="single" w:sz="6" w:space="0" w:color="FFCC00" w:themeColor="accent4"/>
        </w:tcBorders>
        <w:shd w:val="clear" w:color="auto" w:fill="FFE5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F88E" w:themeColor="accent5"/>
        <w:left w:val="single" w:sz="8" w:space="0" w:color="E9F88E" w:themeColor="accent5"/>
        <w:bottom w:val="single" w:sz="8" w:space="0" w:color="E9F88E" w:themeColor="accent5"/>
        <w:right w:val="single" w:sz="8" w:space="0" w:color="E9F88E" w:themeColor="accent5"/>
        <w:insideH w:val="single" w:sz="8" w:space="0" w:color="E9F88E" w:themeColor="accent5"/>
        <w:insideV w:val="single" w:sz="8" w:space="0" w:color="E9F88E" w:themeColor="accent5"/>
      </w:tblBorders>
    </w:tblPr>
    <w:tcPr>
      <w:shd w:val="clear" w:color="auto" w:fill="F9FDE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EF3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DE8" w:themeFill="accent5" w:themeFillTint="33"/>
      </w:tcPr>
    </w:tblStylePr>
    <w:tblStylePr w:type="band1Vert">
      <w:tblPr/>
      <w:tcPr>
        <w:shd w:val="clear" w:color="auto" w:fill="F3FBC6" w:themeFill="accent5" w:themeFillTint="7F"/>
      </w:tcPr>
    </w:tblStylePr>
    <w:tblStylePr w:type="band1Horz">
      <w:tblPr/>
      <w:tcPr>
        <w:tcBorders>
          <w:insideH w:val="single" w:sz="6" w:space="0" w:color="E9F88E" w:themeColor="accent5"/>
          <w:insideV w:val="single" w:sz="6" w:space="0" w:color="E9F88E" w:themeColor="accent5"/>
        </w:tcBorders>
        <w:shd w:val="clear" w:color="auto" w:fill="F3FBC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E34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191" w:themeColor="accent6"/>
        <w:left w:val="single" w:sz="8" w:space="0" w:color="919191" w:themeColor="accent6"/>
        <w:bottom w:val="single" w:sz="8" w:space="0" w:color="919191" w:themeColor="accent6"/>
        <w:right w:val="single" w:sz="8" w:space="0" w:color="919191" w:themeColor="accent6"/>
        <w:insideH w:val="single" w:sz="8" w:space="0" w:color="919191" w:themeColor="accent6"/>
        <w:insideV w:val="single" w:sz="8" w:space="0" w:color="919191" w:themeColor="accent6"/>
      </w:tblBorders>
    </w:tblPr>
    <w:tcPr>
      <w:shd w:val="clear" w:color="auto" w:fill="E3E3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9E9" w:themeFill="accent6" w:themeFillTint="33"/>
      </w:tcPr>
    </w:tblStylePr>
    <w:tblStylePr w:type="band1Vert">
      <w:tblPr/>
      <w:tcPr>
        <w:shd w:val="clear" w:color="auto" w:fill="C8C8C8" w:themeFill="accent6" w:themeFillTint="7F"/>
      </w:tcPr>
    </w:tblStylePr>
    <w:tblStylePr w:type="band1Horz">
      <w:tblPr/>
      <w:tcPr>
        <w:tcBorders>
          <w:insideH w:val="single" w:sz="6" w:space="0" w:color="919191" w:themeColor="accent6"/>
          <w:insideV w:val="single" w:sz="6" w:space="0" w:color="919191" w:themeColor="accent6"/>
        </w:tcBorders>
        <w:shd w:val="clear" w:color="auto" w:fill="C8C8C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B9E9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3FF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FB9D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7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007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007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007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73BF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2FBB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B0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0CB0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0CB0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0CB0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F77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FF2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C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C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C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C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5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F9FD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F88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F88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F88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F88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FBC6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E3468"/>
    <w:pPr>
      <w:spacing w:after="0" w:line="240" w:lineRule="auto"/>
    </w:pPr>
    <w:tblPr>
      <w:tblStyleRowBandSize w:val="1"/>
      <w:tblStyleColBandSize w:val="1"/>
    </w:tblPr>
    <w:tcPr>
      <w:tc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</w:tcBorders>
      <w:shd w:val="clear" w:color="auto" w:fill="E3E3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19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19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19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8C8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b/>
        <w:bCs/>
        <w:color w:val="auto"/>
      </w:rPr>
    </w:tblStylePr>
    <w:tblStylePr w:type="band1Horz">
      <w:rPr>
        <w:color w:val="auto"/>
      </w:rPr>
    </w:tblStylePr>
    <w:tblStylePr w:type="band2Horz">
      <w:rPr>
        <w:color w:val="auto"/>
      </w:rPr>
    </w:tblStylePr>
  </w:style>
  <w:style w:type="table" w:styleId="Mrklista">
    <w:name w:val="Dark List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6007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003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005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005D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B0CB0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640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3970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39708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FFCC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8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8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E9F88E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DB6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6F23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6F231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E346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tcBorders>
        <w:top w:val="nil"/>
        <w:left w:val="nil"/>
        <w:bottom w:val="nil"/>
        <w:right w:val="nil"/>
      </w:tcBorders>
      <w:shd w:val="clear" w:color="auto" w:fill="91919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84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C6C6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C6C6C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E3468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E3468"/>
    <w:pPr>
      <w:ind w:left="1304"/>
    </w:pPr>
  </w:style>
  <w:style w:type="paragraph" w:styleId="Numreradlista3">
    <w:name w:val="List Number 3"/>
    <w:basedOn w:val="Normal"/>
    <w:uiPriority w:val="99"/>
    <w:semiHidden/>
    <w:unhideWhenUsed/>
    <w:rsid w:val="00CE3468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CE3468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E3468"/>
    <w:pPr>
      <w:numPr>
        <w:numId w:val="5"/>
      </w:numPr>
      <w:contextualSpacing/>
    </w:pPr>
  </w:style>
  <w:style w:type="table" w:styleId="Oformateradtabell1">
    <w:name w:val="Plain Table 1"/>
    <w:basedOn w:val="Normaltabell"/>
    <w:uiPriority w:val="41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2F2F2" w:themeFill="background1" w:themeFillShade="F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E3468"/>
    <w:pPr>
      <w:spacing w:after="0" w:line="240" w:lineRule="auto"/>
    </w:pPr>
    <w:tblPr>
      <w:tblStyleRowBandSize w:val="1"/>
      <w:tblStyleColBandSize w:val="1"/>
    </w:tblPr>
    <w:tcPr>
      <w:tcBorders>
        <w:bottom w:val="single" w:sz="4" w:space="0" w:color="7F7F7F" w:themeColor="text1" w:themeTint="80"/>
        <w:right w:val="single" w:sz="4" w:space="0" w:color="7F7F7F" w:themeColor="text1" w:themeTint="80"/>
      </w:tcBorders>
    </w:tcPr>
    <w:tblStylePr w:type="firstRow">
      <w:rPr>
        <w:b/>
        <w:bCs/>
        <w:caps/>
      </w:rPr>
    </w:tblStylePr>
    <w:tblStylePr w:type="lastRow">
      <w:rPr>
        <w:b/>
        <w:bCs/>
        <w:caps/>
      </w:rPr>
    </w:tblStylePr>
    <w:tblStylePr w:type="firstCol">
      <w:rPr>
        <w:b/>
        <w:bCs/>
        <w:caps/>
      </w:rPr>
    </w:tblStylePr>
    <w:tblStylePr w:type="lastCol">
      <w:rPr>
        <w:b/>
        <w:bCs/>
        <w:caps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E3468"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formateradtabell5">
    <w:name w:val="Plain Table 5"/>
    <w:basedOn w:val="Normaltabell"/>
    <w:uiPriority w:val="45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E3468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E3468"/>
    <w:rPr>
      <w:rFonts w:ascii="Consolas" w:hAnsi="Consolas"/>
      <w:sz w:val="21"/>
      <w:szCs w:val="21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3">
    <w:name w:val="List Bullet 3"/>
    <w:basedOn w:val="Normal"/>
    <w:uiPriority w:val="99"/>
    <w:semiHidden/>
    <w:unhideWhenUsed/>
    <w:rsid w:val="00CE3468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CE3468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E3468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E3468"/>
    <w:rPr>
      <w:lang w:val="sv-SE"/>
    </w:rPr>
  </w:style>
  <w:style w:type="table" w:styleId="Rutntstabell1ljus">
    <w:name w:val="Grid Table 1 Light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8EDCFF" w:themeColor="accent1" w:themeTint="66"/>
        <w:left w:val="single" w:sz="4" w:space="0" w:color="8EDCFF" w:themeColor="accent1" w:themeTint="66"/>
        <w:bottom w:val="single" w:sz="4" w:space="0" w:color="8EDCFF" w:themeColor="accent1" w:themeTint="66"/>
        <w:right w:val="single" w:sz="4" w:space="0" w:color="8EDCFF" w:themeColor="accent1" w:themeTint="66"/>
        <w:insideH w:val="single" w:sz="4" w:space="0" w:color="8EDCFF" w:themeColor="accent1" w:themeTint="66"/>
        <w:insideV w:val="single" w:sz="4" w:space="0" w:color="8EDC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8FCC" w:themeColor="accent2" w:themeTint="66"/>
        <w:left w:val="single" w:sz="4" w:space="0" w:color="FF8FCC" w:themeColor="accent2" w:themeTint="66"/>
        <w:bottom w:val="single" w:sz="4" w:space="0" w:color="FF8FCC" w:themeColor="accent2" w:themeTint="66"/>
        <w:right w:val="single" w:sz="4" w:space="0" w:color="FF8FCC" w:themeColor="accent2" w:themeTint="66"/>
        <w:insideH w:val="single" w:sz="4" w:space="0" w:color="FF8FCC" w:themeColor="accent2" w:themeTint="66"/>
        <w:insideV w:val="single" w:sz="4" w:space="0" w:color="FF8FC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57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57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E9F98E" w:themeColor="accent3" w:themeTint="66"/>
        <w:left w:val="single" w:sz="4" w:space="0" w:color="E9F98E" w:themeColor="accent3" w:themeTint="66"/>
        <w:bottom w:val="single" w:sz="4" w:space="0" w:color="E9F98E" w:themeColor="accent3" w:themeTint="66"/>
        <w:right w:val="single" w:sz="4" w:space="0" w:color="E9F98E" w:themeColor="accent3" w:themeTint="66"/>
        <w:insideH w:val="single" w:sz="4" w:space="0" w:color="E9F98E" w:themeColor="accent3" w:themeTint="66"/>
        <w:insideV w:val="single" w:sz="4" w:space="0" w:color="E9F98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FF55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FF55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EA99" w:themeColor="accent4" w:themeTint="66"/>
        <w:left w:val="single" w:sz="4" w:space="0" w:color="FFEA99" w:themeColor="accent4" w:themeTint="66"/>
        <w:bottom w:val="single" w:sz="4" w:space="0" w:color="FFEA99" w:themeColor="accent4" w:themeTint="66"/>
        <w:right w:val="single" w:sz="4" w:space="0" w:color="FFEA99" w:themeColor="accent4" w:themeTint="66"/>
        <w:insideH w:val="single" w:sz="4" w:space="0" w:color="FFEA99" w:themeColor="accent4" w:themeTint="66"/>
        <w:insideV w:val="single" w:sz="4" w:space="0" w:color="FFEA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0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0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6FCD1" w:themeColor="accent5" w:themeTint="66"/>
        <w:left w:val="single" w:sz="4" w:space="0" w:color="F6FCD1" w:themeColor="accent5" w:themeTint="66"/>
        <w:bottom w:val="single" w:sz="4" w:space="0" w:color="F6FCD1" w:themeColor="accent5" w:themeTint="66"/>
        <w:right w:val="single" w:sz="4" w:space="0" w:color="F6FCD1" w:themeColor="accent5" w:themeTint="66"/>
        <w:insideH w:val="single" w:sz="4" w:space="0" w:color="F6FCD1" w:themeColor="accent5" w:themeTint="66"/>
        <w:insideV w:val="single" w:sz="4" w:space="0" w:color="F6FCD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1FA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A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D3D3D3" w:themeColor="accent6" w:themeTint="66"/>
        <w:left w:val="single" w:sz="4" w:space="0" w:color="D3D3D3" w:themeColor="accent6" w:themeTint="66"/>
        <w:bottom w:val="single" w:sz="4" w:space="0" w:color="D3D3D3" w:themeColor="accent6" w:themeTint="66"/>
        <w:right w:val="single" w:sz="4" w:space="0" w:color="D3D3D3" w:themeColor="accent6" w:themeTint="66"/>
        <w:insideH w:val="single" w:sz="4" w:space="0" w:color="D3D3D3" w:themeColor="accent6" w:themeTint="66"/>
        <w:insideV w:val="single" w:sz="4" w:space="0" w:color="D3D3D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DBD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D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6EDFF" w:themeFill="accent1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C7E5" w:themeFill="accent2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F57B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57B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4FCC6" w:themeFill="accent3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DFF55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FF55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F4CC" w:themeFill="accent4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FE0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0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AFDE8" w:themeFill="accent5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F1FAB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AB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E9E9E9" w:themeFill="accent6" w:themeFillTint="33"/>
    </w:tcPr>
    <w:tblStylePr w:type="firstRow">
      <w:rPr>
        <w:b/>
        <w:bCs/>
      </w:rPr>
      <w:tblPr/>
      <w:tcPr>
        <w:tcBorders>
          <w:top w:val="nil"/>
          <w:bottom w:val="single" w:sz="12" w:space="0" w:color="BDBDB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BDB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</w:style>
  <w:style w:type="table" w:styleId="Rutntstabell3">
    <w:name w:val="Grid Table 3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  <w:tblStylePr w:type="neCell">
      <w:tblPr/>
      <w:tcPr>
        <w:tcBorders>
          <w:bottom w:val="single" w:sz="4" w:space="0" w:color="55CBFF" w:themeColor="accent1" w:themeTint="99"/>
        </w:tcBorders>
      </w:tcPr>
    </w:tblStylePr>
    <w:tblStylePr w:type="nwCell">
      <w:tblPr/>
      <w:tcPr>
        <w:tcBorders>
          <w:bottom w:val="single" w:sz="4" w:space="0" w:color="55CBFF" w:themeColor="accent1" w:themeTint="99"/>
        </w:tcBorders>
      </w:tcPr>
    </w:tblStylePr>
    <w:tblStylePr w:type="seCell">
      <w:tblPr/>
      <w:tcPr>
        <w:tcBorders>
          <w:top w:val="single" w:sz="4" w:space="0" w:color="55CBFF" w:themeColor="accent1" w:themeTint="99"/>
        </w:tcBorders>
      </w:tcPr>
    </w:tblStylePr>
    <w:tblStylePr w:type="swCell">
      <w:tblPr/>
      <w:tcPr>
        <w:tcBorders>
          <w:top w:val="single" w:sz="4" w:space="0" w:color="55CBFF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57B2" w:themeColor="accent2" w:themeTint="99"/>
        <w:left w:val="single" w:sz="4" w:space="0" w:color="FF57B2" w:themeColor="accent2" w:themeTint="99"/>
        <w:bottom w:val="single" w:sz="4" w:space="0" w:color="FF57B2" w:themeColor="accent2" w:themeTint="99"/>
        <w:right w:val="single" w:sz="4" w:space="0" w:color="FF57B2" w:themeColor="accent2" w:themeTint="99"/>
        <w:insideH w:val="single" w:sz="4" w:space="0" w:color="FF57B2" w:themeColor="accent2" w:themeTint="99"/>
        <w:insideV w:val="single" w:sz="4" w:space="0" w:color="FF57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  <w:tblStylePr w:type="neCell">
      <w:tblPr/>
      <w:tcPr>
        <w:tcBorders>
          <w:bottom w:val="single" w:sz="4" w:space="0" w:color="FF57B2" w:themeColor="accent2" w:themeTint="99"/>
        </w:tcBorders>
      </w:tcPr>
    </w:tblStylePr>
    <w:tblStylePr w:type="nwCell">
      <w:tblPr/>
      <w:tcPr>
        <w:tcBorders>
          <w:bottom w:val="single" w:sz="4" w:space="0" w:color="FF57B2" w:themeColor="accent2" w:themeTint="99"/>
        </w:tcBorders>
      </w:tcPr>
    </w:tblStylePr>
    <w:tblStylePr w:type="seCell">
      <w:tblPr/>
      <w:tcPr>
        <w:tcBorders>
          <w:top w:val="single" w:sz="4" w:space="0" w:color="FF57B2" w:themeColor="accent2" w:themeTint="99"/>
        </w:tcBorders>
      </w:tcPr>
    </w:tblStylePr>
    <w:tblStylePr w:type="swCell">
      <w:tblPr/>
      <w:tcPr>
        <w:tcBorders>
          <w:top w:val="single" w:sz="4" w:space="0" w:color="FF57B2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DFF556" w:themeColor="accent3" w:themeTint="99"/>
        <w:left w:val="single" w:sz="4" w:space="0" w:color="DFF556" w:themeColor="accent3" w:themeTint="99"/>
        <w:bottom w:val="single" w:sz="4" w:space="0" w:color="DFF556" w:themeColor="accent3" w:themeTint="99"/>
        <w:right w:val="single" w:sz="4" w:space="0" w:color="DFF556" w:themeColor="accent3" w:themeTint="99"/>
        <w:insideH w:val="single" w:sz="4" w:space="0" w:color="DFF556" w:themeColor="accent3" w:themeTint="99"/>
        <w:insideV w:val="single" w:sz="4" w:space="0" w:color="DFF55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  <w:tblStylePr w:type="neCell">
      <w:tblPr/>
      <w:tcPr>
        <w:tcBorders>
          <w:bottom w:val="single" w:sz="4" w:space="0" w:color="DFF556" w:themeColor="accent3" w:themeTint="99"/>
        </w:tcBorders>
      </w:tcPr>
    </w:tblStylePr>
    <w:tblStylePr w:type="nwCell">
      <w:tblPr/>
      <w:tcPr>
        <w:tcBorders>
          <w:bottom w:val="single" w:sz="4" w:space="0" w:color="DFF556" w:themeColor="accent3" w:themeTint="99"/>
        </w:tcBorders>
      </w:tcPr>
    </w:tblStylePr>
    <w:tblStylePr w:type="seCell">
      <w:tblPr/>
      <w:tcPr>
        <w:tcBorders>
          <w:top w:val="single" w:sz="4" w:space="0" w:color="DFF556" w:themeColor="accent3" w:themeTint="99"/>
        </w:tcBorders>
      </w:tcPr>
    </w:tblStylePr>
    <w:tblStylePr w:type="swCell">
      <w:tblPr/>
      <w:tcPr>
        <w:tcBorders>
          <w:top w:val="single" w:sz="4" w:space="0" w:color="DFF556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FE066" w:themeColor="accent4" w:themeTint="99"/>
        <w:left w:val="single" w:sz="4" w:space="0" w:color="FFE066" w:themeColor="accent4" w:themeTint="99"/>
        <w:bottom w:val="single" w:sz="4" w:space="0" w:color="FFE066" w:themeColor="accent4" w:themeTint="99"/>
        <w:right w:val="single" w:sz="4" w:space="0" w:color="FFE066" w:themeColor="accent4" w:themeTint="99"/>
        <w:insideH w:val="single" w:sz="4" w:space="0" w:color="FFE066" w:themeColor="accent4" w:themeTint="99"/>
        <w:insideV w:val="single" w:sz="4" w:space="0" w:color="FFE0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  <w:tblStylePr w:type="neCell">
      <w:tblPr/>
      <w:tcPr>
        <w:tcBorders>
          <w:bottom w:val="single" w:sz="4" w:space="0" w:color="FFE066" w:themeColor="accent4" w:themeTint="99"/>
        </w:tcBorders>
      </w:tcPr>
    </w:tblStylePr>
    <w:tblStylePr w:type="nwCell">
      <w:tblPr/>
      <w:tcPr>
        <w:tcBorders>
          <w:bottom w:val="single" w:sz="4" w:space="0" w:color="FFE066" w:themeColor="accent4" w:themeTint="99"/>
        </w:tcBorders>
      </w:tcPr>
    </w:tblStylePr>
    <w:tblStylePr w:type="seCell">
      <w:tblPr/>
      <w:tcPr>
        <w:tcBorders>
          <w:top w:val="single" w:sz="4" w:space="0" w:color="FFE066" w:themeColor="accent4" w:themeTint="99"/>
        </w:tcBorders>
      </w:tcPr>
    </w:tblStylePr>
    <w:tblStylePr w:type="swCell">
      <w:tblPr/>
      <w:tcPr>
        <w:tcBorders>
          <w:top w:val="single" w:sz="4" w:space="0" w:color="FFE0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F1FABB" w:themeColor="accent5" w:themeTint="99"/>
        <w:left w:val="single" w:sz="4" w:space="0" w:color="F1FABB" w:themeColor="accent5" w:themeTint="99"/>
        <w:bottom w:val="single" w:sz="4" w:space="0" w:color="F1FABB" w:themeColor="accent5" w:themeTint="99"/>
        <w:right w:val="single" w:sz="4" w:space="0" w:color="F1FABB" w:themeColor="accent5" w:themeTint="99"/>
        <w:insideH w:val="single" w:sz="4" w:space="0" w:color="F1FABB" w:themeColor="accent5" w:themeTint="99"/>
        <w:insideV w:val="single" w:sz="4" w:space="0" w:color="F1FA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  <w:tblStylePr w:type="neCell">
      <w:tblPr/>
      <w:tcPr>
        <w:tcBorders>
          <w:bottom w:val="single" w:sz="4" w:space="0" w:color="F1FABB" w:themeColor="accent5" w:themeTint="99"/>
        </w:tcBorders>
      </w:tcPr>
    </w:tblStylePr>
    <w:tblStylePr w:type="nwCell">
      <w:tblPr/>
      <w:tcPr>
        <w:tcBorders>
          <w:bottom w:val="single" w:sz="4" w:space="0" w:color="F1FABB" w:themeColor="accent5" w:themeTint="99"/>
        </w:tcBorders>
      </w:tcPr>
    </w:tblStylePr>
    <w:tblStylePr w:type="seCell">
      <w:tblPr/>
      <w:tcPr>
        <w:tcBorders>
          <w:top w:val="single" w:sz="4" w:space="0" w:color="F1FABB" w:themeColor="accent5" w:themeTint="99"/>
        </w:tcBorders>
      </w:tcPr>
    </w:tblStylePr>
    <w:tblStylePr w:type="swCell">
      <w:tblPr/>
      <w:tcPr>
        <w:tcBorders>
          <w:top w:val="single" w:sz="4" w:space="0" w:color="F1FAB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E3468"/>
    <w:pPr>
      <w:spacing w:after="0" w:line="240" w:lineRule="auto"/>
    </w:pPr>
    <w:tblPr>
      <w:tblStyleRowBandSize w:val="1"/>
      <w:tblStyleColBandSize w:val="1"/>
      <w:tblBorders>
        <w:top w:val="single" w:sz="4" w:space="0" w:color="BDBDBD" w:themeColor="accent6" w:themeTint="99"/>
        <w:left w:val="single" w:sz="4" w:space="0" w:color="BDBDBD" w:themeColor="accent6" w:themeTint="99"/>
        <w:bottom w:val="single" w:sz="4" w:space="0" w:color="BDBDBD" w:themeColor="accent6" w:themeTint="99"/>
        <w:right w:val="single" w:sz="4" w:space="0" w:color="BDBDBD" w:themeColor="accent6" w:themeTint="99"/>
        <w:insideH w:val="single" w:sz="4" w:space="0" w:color="BDBDBD" w:themeColor="accent6" w:themeTint="99"/>
        <w:insideV w:val="single" w:sz="4" w:space="0" w:color="BDBD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  <w:tblStylePr w:type="neCell">
      <w:tblPr/>
      <w:tcPr>
        <w:tcBorders>
          <w:bottom w:val="single" w:sz="4" w:space="0" w:color="BDBDBD" w:themeColor="accent6" w:themeTint="99"/>
        </w:tcBorders>
      </w:tcPr>
    </w:tblStylePr>
    <w:tblStylePr w:type="nwCell">
      <w:tblPr/>
      <w:tcPr>
        <w:tcBorders>
          <w:bottom w:val="single" w:sz="4" w:space="0" w:color="BDBDBD" w:themeColor="accent6" w:themeTint="99"/>
        </w:tcBorders>
      </w:tcPr>
    </w:tblStylePr>
    <w:tblStylePr w:type="seCell">
      <w:tblPr/>
      <w:tcPr>
        <w:tcBorders>
          <w:top w:val="single" w:sz="4" w:space="0" w:color="BDBDBD" w:themeColor="accent6" w:themeTint="99"/>
        </w:tcBorders>
      </w:tcPr>
    </w:tblStylePr>
    <w:tblStylePr w:type="swCell">
      <w:tblPr/>
      <w:tcPr>
        <w:tcBorders>
          <w:top w:val="single" w:sz="4" w:space="0" w:color="BDBDB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1">
    <w:name w:val="Grid Table 4 Accent 1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6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4" w:themeColor="accent1"/>
          <w:left w:val="single" w:sz="4" w:space="0" w:color="009FE4" w:themeColor="accent1"/>
          <w:bottom w:val="single" w:sz="4" w:space="0" w:color="009FE4" w:themeColor="accent1"/>
          <w:right w:val="single" w:sz="4" w:space="0" w:color="009FE4" w:themeColor="accent1"/>
          <w:insideH w:val="nil"/>
          <w:insideV w:val="nil"/>
        </w:tcBorders>
        <w:shd w:val="clear" w:color="auto" w:fill="009FE4" w:themeFill="accent1"/>
      </w:tcPr>
    </w:tblStylePr>
    <w:tblStylePr w:type="lastRow">
      <w:rPr>
        <w:b/>
        <w:bCs/>
      </w:rPr>
      <w:tblPr/>
      <w:tcPr>
        <w:tcBorders>
          <w:top w:val="double" w:sz="4" w:space="0" w:color="009F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2">
    <w:name w:val="Grid Table 4 Accent 2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C7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007E" w:themeColor="accent2"/>
          <w:left w:val="single" w:sz="4" w:space="0" w:color="E6007E" w:themeColor="accent2"/>
          <w:bottom w:val="single" w:sz="4" w:space="0" w:color="E6007E" w:themeColor="accent2"/>
          <w:right w:val="single" w:sz="4" w:space="0" w:color="E6007E" w:themeColor="accent2"/>
          <w:insideH w:val="nil"/>
          <w:insideV w:val="nil"/>
        </w:tcBorders>
        <w:shd w:val="clear" w:color="auto" w:fill="E6007E" w:themeFill="accent2"/>
      </w:tcPr>
    </w:tblStylePr>
    <w:tblStylePr w:type="lastRow">
      <w:rPr>
        <w:b/>
        <w:bCs/>
      </w:rPr>
      <w:tblPr/>
      <w:tcPr>
        <w:tcBorders>
          <w:top w:val="double" w:sz="4" w:space="0" w:color="E6007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3">
    <w:name w:val="Grid Table 4 Accent 3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4FCC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0CB0B" w:themeColor="accent3"/>
          <w:left w:val="single" w:sz="4" w:space="0" w:color="B0CB0B" w:themeColor="accent3"/>
          <w:bottom w:val="single" w:sz="4" w:space="0" w:color="B0CB0B" w:themeColor="accent3"/>
          <w:right w:val="single" w:sz="4" w:space="0" w:color="B0CB0B" w:themeColor="accent3"/>
          <w:insideH w:val="nil"/>
          <w:insideV w:val="nil"/>
        </w:tcBorders>
        <w:shd w:val="clear" w:color="auto" w:fill="B0CB0B" w:themeFill="accent3"/>
      </w:tcPr>
    </w:tblStylePr>
    <w:tblStylePr w:type="lastRow">
      <w:rPr>
        <w:b/>
        <w:bCs/>
      </w:rPr>
      <w:tblPr/>
      <w:tcPr>
        <w:tcBorders>
          <w:top w:val="double" w:sz="4" w:space="0" w:color="B0CB0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4">
    <w:name w:val="Grid Table 4 Accent 4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F4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C00" w:themeColor="accent4"/>
          <w:left w:val="single" w:sz="4" w:space="0" w:color="FFCC00" w:themeColor="accent4"/>
          <w:bottom w:val="single" w:sz="4" w:space="0" w:color="FFCC00" w:themeColor="accent4"/>
          <w:right w:val="single" w:sz="4" w:space="0" w:color="FFCC00" w:themeColor="accent4"/>
          <w:insideH w:val="nil"/>
          <w:insideV w:val="nil"/>
        </w:tcBorders>
        <w:shd w:val="clear" w:color="auto" w:fill="FFCC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C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5">
    <w:name w:val="Grid Table 4 Accent 5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AFD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F88E" w:themeColor="accent5"/>
          <w:left w:val="single" w:sz="4" w:space="0" w:color="E9F88E" w:themeColor="accent5"/>
          <w:bottom w:val="single" w:sz="4" w:space="0" w:color="E9F88E" w:themeColor="accent5"/>
          <w:right w:val="single" w:sz="4" w:space="0" w:color="E9F88E" w:themeColor="accent5"/>
          <w:insideH w:val="nil"/>
          <w:insideV w:val="nil"/>
        </w:tcBorders>
        <w:shd w:val="clear" w:color="auto" w:fill="E9F88E" w:themeFill="accent5"/>
      </w:tcPr>
    </w:tblStylePr>
    <w:tblStylePr w:type="lastRow">
      <w:rPr>
        <w:b/>
        <w:bCs/>
      </w:rPr>
      <w:tblPr/>
      <w:tcPr>
        <w:tcBorders>
          <w:top w:val="double" w:sz="4" w:space="0" w:color="E9F88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4dekorfrg6">
    <w:name w:val="Grid Table 4 Accent 6"/>
    <w:basedOn w:val="Normaltabell"/>
    <w:uiPriority w:val="49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E9E9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191" w:themeColor="accent6"/>
          <w:left w:val="single" w:sz="4" w:space="0" w:color="919191" w:themeColor="accent6"/>
          <w:bottom w:val="single" w:sz="4" w:space="0" w:color="919191" w:themeColor="accent6"/>
          <w:right w:val="single" w:sz="4" w:space="0" w:color="919191" w:themeColor="accent6"/>
          <w:insideH w:val="nil"/>
          <w:insideV w:val="nil"/>
        </w:tcBorders>
        <w:shd w:val="clear" w:color="auto" w:fill="919191" w:themeFill="accent6"/>
      </w:tcPr>
    </w:tblStylePr>
    <w:tblStylePr w:type="lastRow">
      <w:rPr>
        <w:b/>
        <w:bCs/>
      </w:rPr>
      <w:tblPr/>
      <w:tcPr>
        <w:tcBorders>
          <w:top w:val="double" w:sz="4" w:space="0" w:color="91919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5mrk">
    <w:name w:val="Grid Table 5 Dark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</w:style>
  <w:style w:type="table" w:styleId="Rutntstabell5mrkdekorfrg1">
    <w:name w:val="Grid Table 5 Dark Accent 1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C6ED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E4" w:themeFill="accent1"/>
      </w:tcPr>
    </w:tblStylePr>
  </w:style>
  <w:style w:type="table" w:styleId="Rutntstabell5mrkdekorfrg2">
    <w:name w:val="Grid Table 5 Dark Accent 2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C7E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007E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007E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007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007E" w:themeFill="accent2"/>
      </w:tcPr>
    </w:tblStylePr>
  </w:style>
  <w:style w:type="table" w:styleId="Rutntstabell5mrkdekorfrg3">
    <w:name w:val="Grid Table 5 Dark Accent 3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4FCC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B0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0CB0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0CB0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0CB0B" w:themeFill="accent3"/>
      </w:tcPr>
    </w:tblStylePr>
  </w:style>
  <w:style w:type="table" w:styleId="Rutntstabell5mrkdekorfrg4">
    <w:name w:val="Grid Table 5 Dark Accent 4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FF4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C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C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C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C00" w:themeFill="accent4"/>
      </w:tcPr>
    </w:tblStylePr>
  </w:style>
  <w:style w:type="table" w:styleId="Rutntstabell5mrkdekorfrg5">
    <w:name w:val="Grid Table 5 Dark Accent 5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FAFDE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F88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F88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F88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F88E" w:themeFill="accent5"/>
      </w:tcPr>
    </w:tblStylePr>
  </w:style>
  <w:style w:type="table" w:styleId="Rutntstabell5mrkdekorfrg6">
    <w:name w:val="Grid Table 5 Dark Accent 6"/>
    <w:basedOn w:val="Normaltabell"/>
    <w:uiPriority w:val="50"/>
    <w:rsid w:val="00CE3468"/>
    <w:pPr>
      <w:spacing w:after="0" w:line="240" w:lineRule="auto"/>
    </w:pPr>
    <w:tblPr>
      <w:tblStyleRowBandSize w:val="1"/>
      <w:tblStyleColBandSize w:val="1"/>
    </w:tblPr>
    <w:tcPr>
      <w:shd w:val="clear" w:color="auto" w:fill="E9E9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19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19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19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191" w:themeFill="accent6"/>
      </w:tcPr>
    </w:tblStylePr>
  </w:style>
  <w:style w:type="table" w:styleId="Rutntstabell6frgstark">
    <w:name w:val="Grid Table 6 Colorful"/>
    <w:basedOn w:val="Normaltabell"/>
    <w:uiPriority w:val="51"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E3468"/>
    <w:pPr>
      <w:spacing w:after="0" w:line="240" w:lineRule="auto"/>
    </w:pPr>
    <w:rPr>
      <w:color w:val="0076AA" w:themeColor="accent1" w:themeShade="BF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CB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E3468"/>
    <w:pPr>
      <w:spacing w:after="0" w:line="240" w:lineRule="auto"/>
    </w:pPr>
    <w:rPr>
      <w:color w:val="AC005D" w:themeColor="accent2" w:themeShade="BF"/>
    </w:rPr>
    <w:tblPr>
      <w:tblStyleRowBandSize w:val="1"/>
      <w:tblStyleColBandSize w:val="1"/>
      <w:tblBorders>
        <w:top w:val="single" w:sz="4" w:space="0" w:color="FF57B2" w:themeColor="accent2" w:themeTint="99"/>
        <w:left w:val="single" w:sz="4" w:space="0" w:color="FF57B2" w:themeColor="accent2" w:themeTint="99"/>
        <w:bottom w:val="single" w:sz="4" w:space="0" w:color="FF57B2" w:themeColor="accent2" w:themeTint="99"/>
        <w:right w:val="single" w:sz="4" w:space="0" w:color="FF57B2" w:themeColor="accent2" w:themeTint="99"/>
        <w:insideH w:val="single" w:sz="4" w:space="0" w:color="FF57B2" w:themeColor="accent2" w:themeTint="99"/>
        <w:insideV w:val="single" w:sz="4" w:space="0" w:color="FF57B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57B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57B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E3468"/>
    <w:pPr>
      <w:spacing w:after="0" w:line="240" w:lineRule="auto"/>
    </w:pPr>
    <w:rPr>
      <w:color w:val="839708" w:themeColor="accent3" w:themeShade="BF"/>
    </w:rPr>
    <w:tblPr>
      <w:tblStyleRowBandSize w:val="1"/>
      <w:tblStyleColBandSize w:val="1"/>
      <w:tblBorders>
        <w:top w:val="single" w:sz="4" w:space="0" w:color="DFF556" w:themeColor="accent3" w:themeTint="99"/>
        <w:left w:val="single" w:sz="4" w:space="0" w:color="DFF556" w:themeColor="accent3" w:themeTint="99"/>
        <w:bottom w:val="single" w:sz="4" w:space="0" w:color="DFF556" w:themeColor="accent3" w:themeTint="99"/>
        <w:right w:val="single" w:sz="4" w:space="0" w:color="DFF556" w:themeColor="accent3" w:themeTint="99"/>
        <w:insideH w:val="single" w:sz="4" w:space="0" w:color="DFF556" w:themeColor="accent3" w:themeTint="99"/>
        <w:insideV w:val="single" w:sz="4" w:space="0" w:color="DFF55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FF55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FF55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E3468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  <w:tblBorders>
        <w:top w:val="single" w:sz="4" w:space="0" w:color="FFE066" w:themeColor="accent4" w:themeTint="99"/>
        <w:left w:val="single" w:sz="4" w:space="0" w:color="FFE066" w:themeColor="accent4" w:themeTint="99"/>
        <w:bottom w:val="single" w:sz="4" w:space="0" w:color="FFE066" w:themeColor="accent4" w:themeTint="99"/>
        <w:right w:val="single" w:sz="4" w:space="0" w:color="FFE066" w:themeColor="accent4" w:themeTint="99"/>
        <w:insideH w:val="single" w:sz="4" w:space="0" w:color="FFE066" w:themeColor="accent4" w:themeTint="99"/>
        <w:insideV w:val="single" w:sz="4" w:space="0" w:color="FFE0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0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0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E3468"/>
    <w:pPr>
      <w:spacing w:after="0" w:line="240" w:lineRule="auto"/>
    </w:pPr>
    <w:rPr>
      <w:color w:val="D6F231" w:themeColor="accent5" w:themeShade="BF"/>
    </w:rPr>
    <w:tblPr>
      <w:tblStyleRowBandSize w:val="1"/>
      <w:tblStyleColBandSize w:val="1"/>
      <w:tblBorders>
        <w:top w:val="single" w:sz="4" w:space="0" w:color="F1FABB" w:themeColor="accent5" w:themeTint="99"/>
        <w:left w:val="single" w:sz="4" w:space="0" w:color="F1FABB" w:themeColor="accent5" w:themeTint="99"/>
        <w:bottom w:val="single" w:sz="4" w:space="0" w:color="F1FABB" w:themeColor="accent5" w:themeTint="99"/>
        <w:right w:val="single" w:sz="4" w:space="0" w:color="F1FABB" w:themeColor="accent5" w:themeTint="99"/>
        <w:insideH w:val="single" w:sz="4" w:space="0" w:color="F1FABB" w:themeColor="accent5" w:themeTint="99"/>
        <w:insideV w:val="single" w:sz="4" w:space="0" w:color="F1FAB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1FAB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AB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E3468"/>
    <w:pPr>
      <w:spacing w:after="0" w:line="240" w:lineRule="auto"/>
    </w:pPr>
    <w:rPr>
      <w:color w:val="6C6C6C" w:themeColor="accent6" w:themeShade="BF"/>
    </w:rPr>
    <w:tblPr>
      <w:tblStyleRowBandSize w:val="1"/>
      <w:tblStyleColBandSize w:val="1"/>
      <w:tblBorders>
        <w:top w:val="single" w:sz="4" w:space="0" w:color="BDBDBD" w:themeColor="accent6" w:themeTint="99"/>
        <w:left w:val="single" w:sz="4" w:space="0" w:color="BDBDBD" w:themeColor="accent6" w:themeTint="99"/>
        <w:bottom w:val="single" w:sz="4" w:space="0" w:color="BDBDBD" w:themeColor="accent6" w:themeTint="99"/>
        <w:right w:val="single" w:sz="4" w:space="0" w:color="BDBDBD" w:themeColor="accent6" w:themeTint="99"/>
        <w:insideH w:val="single" w:sz="4" w:space="0" w:color="BDBDBD" w:themeColor="accent6" w:themeTint="99"/>
        <w:insideV w:val="single" w:sz="4" w:space="0" w:color="BDBDB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DBDB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BDB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E346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E3468"/>
    <w:pPr>
      <w:spacing w:after="0" w:line="240" w:lineRule="auto"/>
    </w:pPr>
    <w:rPr>
      <w:color w:val="0076AA" w:themeColor="accent1" w:themeShade="BF"/>
    </w:rPr>
    <w:tblPr>
      <w:tblStyleRowBandSize w:val="1"/>
      <w:tblStyleColBandSize w:val="1"/>
      <w:tblBorders>
        <w:top w:val="single" w:sz="4" w:space="0" w:color="55CBFF" w:themeColor="accent1" w:themeTint="99"/>
        <w:left w:val="single" w:sz="4" w:space="0" w:color="55CBFF" w:themeColor="accent1" w:themeTint="99"/>
        <w:bottom w:val="single" w:sz="4" w:space="0" w:color="55CBFF" w:themeColor="accent1" w:themeTint="99"/>
        <w:right w:val="single" w:sz="4" w:space="0" w:color="55CBFF" w:themeColor="accent1" w:themeTint="99"/>
        <w:insideH w:val="single" w:sz="4" w:space="0" w:color="55CBFF" w:themeColor="accent1" w:themeTint="99"/>
        <w:insideV w:val="single" w:sz="4" w:space="0" w:color="55CB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1" w:themeFillTint="33"/>
      </w:tcPr>
    </w:tblStylePr>
    <w:tblStylePr w:type="band1Horz">
      <w:tblPr/>
      <w:tcPr>
        <w:shd w:val="clear" w:color="auto" w:fill="C6EDFF" w:themeFill="accent1" w:themeFillTint="33"/>
      </w:tcPr>
    </w:tblStylePr>
    <w:tblStylePr w:type="neCell">
      <w:tblPr/>
      <w:tcPr>
        <w:tcBorders>
          <w:bottom w:val="single" w:sz="4" w:space="0" w:color="55CBFF" w:themeColor="accent1" w:themeTint="99"/>
        </w:tcBorders>
      </w:tcPr>
    </w:tblStylePr>
    <w:tblStylePr w:type="nwCell">
      <w:tblPr/>
      <w:tcPr>
        <w:tcBorders>
          <w:bottom w:val="single" w:sz="4" w:space="0" w:color="55CBFF" w:themeColor="accent1" w:themeTint="99"/>
        </w:tcBorders>
      </w:tcPr>
    </w:tblStylePr>
    <w:tblStylePr w:type="seCell">
      <w:tblPr/>
      <w:tcPr>
        <w:tcBorders>
          <w:top w:val="single" w:sz="4" w:space="0" w:color="55CBFF" w:themeColor="accent1" w:themeTint="99"/>
        </w:tcBorders>
      </w:tcPr>
    </w:tblStylePr>
    <w:tblStylePr w:type="swCell">
      <w:tblPr/>
      <w:tcPr>
        <w:tcBorders>
          <w:top w:val="single" w:sz="4" w:space="0" w:color="55CBFF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E3468"/>
    <w:pPr>
      <w:spacing w:after="0" w:line="240" w:lineRule="auto"/>
    </w:pPr>
    <w:rPr>
      <w:color w:val="AC005D" w:themeColor="accent2" w:themeShade="BF"/>
    </w:rPr>
    <w:tblPr>
      <w:tblStyleRowBandSize w:val="1"/>
      <w:tblStyleColBandSize w:val="1"/>
      <w:tblBorders>
        <w:top w:val="single" w:sz="4" w:space="0" w:color="FF57B2" w:themeColor="accent2" w:themeTint="99"/>
        <w:left w:val="single" w:sz="4" w:space="0" w:color="FF57B2" w:themeColor="accent2" w:themeTint="99"/>
        <w:bottom w:val="single" w:sz="4" w:space="0" w:color="FF57B2" w:themeColor="accent2" w:themeTint="99"/>
        <w:right w:val="single" w:sz="4" w:space="0" w:color="FF57B2" w:themeColor="accent2" w:themeTint="99"/>
        <w:insideH w:val="single" w:sz="4" w:space="0" w:color="FF57B2" w:themeColor="accent2" w:themeTint="99"/>
        <w:insideV w:val="single" w:sz="4" w:space="0" w:color="FF57B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7E5" w:themeFill="accent2" w:themeFillTint="33"/>
      </w:tcPr>
    </w:tblStylePr>
    <w:tblStylePr w:type="band1Horz">
      <w:tblPr/>
      <w:tcPr>
        <w:shd w:val="clear" w:color="auto" w:fill="FFC7E5" w:themeFill="accent2" w:themeFillTint="33"/>
      </w:tcPr>
    </w:tblStylePr>
    <w:tblStylePr w:type="neCell">
      <w:tblPr/>
      <w:tcPr>
        <w:tcBorders>
          <w:bottom w:val="single" w:sz="4" w:space="0" w:color="FF57B2" w:themeColor="accent2" w:themeTint="99"/>
        </w:tcBorders>
      </w:tcPr>
    </w:tblStylePr>
    <w:tblStylePr w:type="nwCell">
      <w:tblPr/>
      <w:tcPr>
        <w:tcBorders>
          <w:bottom w:val="single" w:sz="4" w:space="0" w:color="FF57B2" w:themeColor="accent2" w:themeTint="99"/>
        </w:tcBorders>
      </w:tcPr>
    </w:tblStylePr>
    <w:tblStylePr w:type="seCell">
      <w:tblPr/>
      <w:tcPr>
        <w:tcBorders>
          <w:top w:val="single" w:sz="4" w:space="0" w:color="FF57B2" w:themeColor="accent2" w:themeTint="99"/>
        </w:tcBorders>
      </w:tcPr>
    </w:tblStylePr>
    <w:tblStylePr w:type="swCell">
      <w:tblPr/>
      <w:tcPr>
        <w:tcBorders>
          <w:top w:val="single" w:sz="4" w:space="0" w:color="FF57B2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E3468"/>
    <w:pPr>
      <w:spacing w:after="0" w:line="240" w:lineRule="auto"/>
    </w:pPr>
    <w:rPr>
      <w:color w:val="839708" w:themeColor="accent3" w:themeShade="BF"/>
    </w:rPr>
    <w:tblPr>
      <w:tblStyleRowBandSize w:val="1"/>
      <w:tblStyleColBandSize w:val="1"/>
      <w:tblBorders>
        <w:top w:val="single" w:sz="4" w:space="0" w:color="DFF556" w:themeColor="accent3" w:themeTint="99"/>
        <w:left w:val="single" w:sz="4" w:space="0" w:color="DFF556" w:themeColor="accent3" w:themeTint="99"/>
        <w:bottom w:val="single" w:sz="4" w:space="0" w:color="DFF556" w:themeColor="accent3" w:themeTint="99"/>
        <w:right w:val="single" w:sz="4" w:space="0" w:color="DFF556" w:themeColor="accent3" w:themeTint="99"/>
        <w:insideH w:val="single" w:sz="4" w:space="0" w:color="DFF556" w:themeColor="accent3" w:themeTint="99"/>
        <w:insideV w:val="single" w:sz="4" w:space="0" w:color="DFF55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CC6" w:themeFill="accent3" w:themeFillTint="33"/>
      </w:tcPr>
    </w:tblStylePr>
    <w:tblStylePr w:type="band1Horz">
      <w:tblPr/>
      <w:tcPr>
        <w:shd w:val="clear" w:color="auto" w:fill="F4FCC6" w:themeFill="accent3" w:themeFillTint="33"/>
      </w:tcPr>
    </w:tblStylePr>
    <w:tblStylePr w:type="neCell">
      <w:tblPr/>
      <w:tcPr>
        <w:tcBorders>
          <w:bottom w:val="single" w:sz="4" w:space="0" w:color="DFF556" w:themeColor="accent3" w:themeTint="99"/>
        </w:tcBorders>
      </w:tcPr>
    </w:tblStylePr>
    <w:tblStylePr w:type="nwCell">
      <w:tblPr/>
      <w:tcPr>
        <w:tcBorders>
          <w:bottom w:val="single" w:sz="4" w:space="0" w:color="DFF556" w:themeColor="accent3" w:themeTint="99"/>
        </w:tcBorders>
      </w:tcPr>
    </w:tblStylePr>
    <w:tblStylePr w:type="seCell">
      <w:tblPr/>
      <w:tcPr>
        <w:tcBorders>
          <w:top w:val="single" w:sz="4" w:space="0" w:color="DFF556" w:themeColor="accent3" w:themeTint="99"/>
        </w:tcBorders>
      </w:tcPr>
    </w:tblStylePr>
    <w:tblStylePr w:type="swCell">
      <w:tblPr/>
      <w:tcPr>
        <w:tcBorders>
          <w:top w:val="single" w:sz="4" w:space="0" w:color="DFF556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E3468"/>
    <w:pPr>
      <w:spacing w:after="0" w:line="240" w:lineRule="auto"/>
    </w:pPr>
    <w:rPr>
      <w:color w:val="BF9800" w:themeColor="accent4" w:themeShade="BF"/>
    </w:rPr>
    <w:tblPr>
      <w:tblStyleRowBandSize w:val="1"/>
      <w:tblStyleColBandSize w:val="1"/>
      <w:tblBorders>
        <w:top w:val="single" w:sz="4" w:space="0" w:color="FFE066" w:themeColor="accent4" w:themeTint="99"/>
        <w:left w:val="single" w:sz="4" w:space="0" w:color="FFE066" w:themeColor="accent4" w:themeTint="99"/>
        <w:bottom w:val="single" w:sz="4" w:space="0" w:color="FFE066" w:themeColor="accent4" w:themeTint="99"/>
        <w:right w:val="single" w:sz="4" w:space="0" w:color="FFE066" w:themeColor="accent4" w:themeTint="99"/>
        <w:insideH w:val="single" w:sz="4" w:space="0" w:color="FFE066" w:themeColor="accent4" w:themeTint="99"/>
        <w:insideV w:val="single" w:sz="4" w:space="0" w:color="FFE0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4CC" w:themeFill="accent4" w:themeFillTint="33"/>
      </w:tcPr>
    </w:tblStylePr>
    <w:tblStylePr w:type="band1Horz">
      <w:tblPr/>
      <w:tcPr>
        <w:shd w:val="clear" w:color="auto" w:fill="FFF4CC" w:themeFill="accent4" w:themeFillTint="33"/>
      </w:tcPr>
    </w:tblStylePr>
    <w:tblStylePr w:type="neCell">
      <w:tblPr/>
      <w:tcPr>
        <w:tcBorders>
          <w:bottom w:val="single" w:sz="4" w:space="0" w:color="FFE066" w:themeColor="accent4" w:themeTint="99"/>
        </w:tcBorders>
      </w:tcPr>
    </w:tblStylePr>
    <w:tblStylePr w:type="nwCell">
      <w:tblPr/>
      <w:tcPr>
        <w:tcBorders>
          <w:bottom w:val="single" w:sz="4" w:space="0" w:color="FFE066" w:themeColor="accent4" w:themeTint="99"/>
        </w:tcBorders>
      </w:tcPr>
    </w:tblStylePr>
    <w:tblStylePr w:type="seCell">
      <w:tblPr/>
      <w:tcPr>
        <w:tcBorders>
          <w:top w:val="single" w:sz="4" w:space="0" w:color="FFE066" w:themeColor="accent4" w:themeTint="99"/>
        </w:tcBorders>
      </w:tcPr>
    </w:tblStylePr>
    <w:tblStylePr w:type="swCell">
      <w:tblPr/>
      <w:tcPr>
        <w:tcBorders>
          <w:top w:val="single" w:sz="4" w:space="0" w:color="FFE0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E3468"/>
    <w:pPr>
      <w:spacing w:after="0" w:line="240" w:lineRule="auto"/>
    </w:pPr>
    <w:rPr>
      <w:color w:val="D6F231" w:themeColor="accent5" w:themeShade="BF"/>
    </w:rPr>
    <w:tblPr>
      <w:tblStyleRowBandSize w:val="1"/>
      <w:tblStyleColBandSize w:val="1"/>
      <w:tblBorders>
        <w:top w:val="single" w:sz="4" w:space="0" w:color="F1FABB" w:themeColor="accent5" w:themeTint="99"/>
        <w:left w:val="single" w:sz="4" w:space="0" w:color="F1FABB" w:themeColor="accent5" w:themeTint="99"/>
        <w:bottom w:val="single" w:sz="4" w:space="0" w:color="F1FABB" w:themeColor="accent5" w:themeTint="99"/>
        <w:right w:val="single" w:sz="4" w:space="0" w:color="F1FABB" w:themeColor="accent5" w:themeTint="99"/>
        <w:insideH w:val="single" w:sz="4" w:space="0" w:color="F1FABB" w:themeColor="accent5" w:themeTint="99"/>
        <w:insideV w:val="single" w:sz="4" w:space="0" w:color="F1FAB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DE8" w:themeFill="accent5" w:themeFillTint="33"/>
      </w:tcPr>
    </w:tblStylePr>
    <w:tblStylePr w:type="band1Horz">
      <w:tblPr/>
      <w:tcPr>
        <w:shd w:val="clear" w:color="auto" w:fill="FAFDE8" w:themeFill="accent5" w:themeFillTint="33"/>
      </w:tcPr>
    </w:tblStylePr>
    <w:tblStylePr w:type="neCell">
      <w:tblPr/>
      <w:tcPr>
        <w:tcBorders>
          <w:bottom w:val="single" w:sz="4" w:space="0" w:color="F1FABB" w:themeColor="accent5" w:themeTint="99"/>
        </w:tcBorders>
      </w:tcPr>
    </w:tblStylePr>
    <w:tblStylePr w:type="nwCell">
      <w:tblPr/>
      <w:tcPr>
        <w:tcBorders>
          <w:bottom w:val="single" w:sz="4" w:space="0" w:color="F1FABB" w:themeColor="accent5" w:themeTint="99"/>
        </w:tcBorders>
      </w:tcPr>
    </w:tblStylePr>
    <w:tblStylePr w:type="seCell">
      <w:tblPr/>
      <w:tcPr>
        <w:tcBorders>
          <w:top w:val="single" w:sz="4" w:space="0" w:color="F1FABB" w:themeColor="accent5" w:themeTint="99"/>
        </w:tcBorders>
      </w:tcPr>
    </w:tblStylePr>
    <w:tblStylePr w:type="swCell">
      <w:tblPr/>
      <w:tcPr>
        <w:tcBorders>
          <w:top w:val="single" w:sz="4" w:space="0" w:color="F1FAB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E3468"/>
    <w:pPr>
      <w:spacing w:after="0" w:line="240" w:lineRule="auto"/>
    </w:pPr>
    <w:rPr>
      <w:color w:val="6C6C6C" w:themeColor="accent6" w:themeShade="BF"/>
    </w:rPr>
    <w:tblPr>
      <w:tblStyleRowBandSize w:val="1"/>
      <w:tblStyleColBandSize w:val="1"/>
      <w:tblBorders>
        <w:top w:val="single" w:sz="4" w:space="0" w:color="BDBDBD" w:themeColor="accent6" w:themeTint="99"/>
        <w:left w:val="single" w:sz="4" w:space="0" w:color="BDBDBD" w:themeColor="accent6" w:themeTint="99"/>
        <w:bottom w:val="single" w:sz="4" w:space="0" w:color="BDBDBD" w:themeColor="accent6" w:themeTint="99"/>
        <w:right w:val="single" w:sz="4" w:space="0" w:color="BDBDBD" w:themeColor="accent6" w:themeTint="99"/>
        <w:insideH w:val="single" w:sz="4" w:space="0" w:color="BDBDBD" w:themeColor="accent6" w:themeTint="99"/>
        <w:insideV w:val="single" w:sz="4" w:space="0" w:color="BDBDB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9E9" w:themeFill="accent6" w:themeFillTint="33"/>
      </w:tcPr>
    </w:tblStylePr>
    <w:tblStylePr w:type="band1Horz">
      <w:tblPr/>
      <w:tcPr>
        <w:shd w:val="clear" w:color="auto" w:fill="E9E9E9" w:themeFill="accent6" w:themeFillTint="33"/>
      </w:tcPr>
    </w:tblStylePr>
    <w:tblStylePr w:type="neCell">
      <w:tblPr/>
      <w:tcPr>
        <w:tcBorders>
          <w:bottom w:val="single" w:sz="4" w:space="0" w:color="BDBDBD" w:themeColor="accent6" w:themeTint="99"/>
        </w:tcBorders>
      </w:tcPr>
    </w:tblStylePr>
    <w:tblStylePr w:type="nwCell">
      <w:tblPr/>
      <w:tcPr>
        <w:tcBorders>
          <w:bottom w:val="single" w:sz="4" w:space="0" w:color="BDBDBD" w:themeColor="accent6" w:themeTint="99"/>
        </w:tcBorders>
      </w:tcPr>
    </w:tblStylePr>
    <w:tblStylePr w:type="seCell">
      <w:tblPr/>
      <w:tcPr>
        <w:tcBorders>
          <w:top w:val="single" w:sz="4" w:space="0" w:color="BDBDBD" w:themeColor="accent6" w:themeTint="99"/>
        </w:tcBorders>
      </w:tcPr>
    </w:tblStylePr>
    <w:tblStylePr w:type="swCell">
      <w:tblPr/>
      <w:tcPr>
        <w:tcBorders>
          <w:top w:val="single" w:sz="4" w:space="0" w:color="BDBDBD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semiHidden/>
    <w:unhideWhenUsed/>
    <w:rsid w:val="00CE3468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CE3468"/>
    <w:pPr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E3468"/>
    <w:rPr>
      <w:rFonts w:ascii="Times New Roman" w:hAnsi="Times New Roman"/>
      <w:sz w:val="21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E3468"/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E3468"/>
    <w:rPr>
      <w:rFonts w:ascii="Times New Roman" w:hAnsi="Times New Roman"/>
      <w:sz w:val="20"/>
      <w:szCs w:val="20"/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CE3468"/>
    <w:rPr>
      <w:vertAlign w:val="superscript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CE3468"/>
    <w:pPr>
      <w:spacing w:line="240" w:lineRule="auto"/>
    </w:pPr>
    <w:tblPr/>
    <w:tcPr>
      <w:tcBorders>
        <w:right w:val="single" w:sz="6" w:space="0" w:color="000000"/>
      </w:tcBorders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E3468"/>
    <w:pPr>
      <w:spacing w:line="240" w:lineRule="auto"/>
    </w:pPr>
    <w:rPr>
      <w:color w:val="000080"/>
    </w:rPr>
    <w:tblPr/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</w:tblStylePr>
    <w:tblStylePr w:type="firstCol">
      <w:rPr>
        <w:b/>
        <w:bCs/>
        <w:color w:val="000000"/>
      </w:rPr>
    </w:tblStylePr>
  </w:style>
  <w:style w:type="table" w:styleId="Standardtabell4">
    <w:name w:val="Table Classic 4"/>
    <w:basedOn w:val="Normaltabell"/>
    <w:uiPriority w:val="99"/>
    <w:semiHidden/>
    <w:unhideWhenUsed/>
    <w:rsid w:val="00CE3468"/>
    <w:pPr>
      <w:spacing w:line="240" w:lineRule="auto"/>
    </w:pPr>
    <w:tblPr/>
    <w:tcPr>
      <w:tcBorders>
        <w:bottom w:val="single" w:sz="6" w:space="0" w:color="000000"/>
      </w:tcBorders>
      <w:shd w:val="clear" w:color="auto" w:fill="auto"/>
    </w:tcPr>
    <w:tblStylePr w:type="firstRow">
      <w:rPr>
        <w:b/>
        <w:bCs/>
        <w:i/>
        <w:iCs/>
        <w:color w:val="FFFFFF"/>
      </w:rPr>
    </w:tblStylePr>
    <w:tblStylePr w:type="lastRow">
      <w:rPr>
        <w:color w:val="000080"/>
      </w:rPr>
    </w:tblStylePr>
    <w:tblStylePr w:type="firstCol">
      <w:rPr>
        <w:b/>
        <w:bCs/>
      </w:r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1">
    <w:name w:val="Table 3D effects 1"/>
    <w:basedOn w:val="Normaltabell"/>
    <w:uiPriority w:val="99"/>
    <w:semiHidden/>
    <w:unhideWhenUsed/>
    <w:rsid w:val="00CE3468"/>
    <w:pPr>
      <w:spacing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cPr>
      <w:tcBorders>
        <w:bottom w:val="single" w:sz="6" w:space="0" w:color="FFFFFF"/>
      </w:tcBorders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b/>
        <w:bCs/>
      </w:r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swCell">
      <w:rPr>
        <w:b/>
        <w:bCs/>
      </w:rPr>
    </w:tblStylePr>
  </w:style>
  <w:style w:type="table" w:styleId="Tabellmedkolumn1">
    <w:name w:val="Table Columns 1"/>
    <w:basedOn w:val="Normaltabell"/>
    <w:uiPriority w:val="99"/>
    <w:semiHidden/>
    <w:unhideWhenUsed/>
    <w:rsid w:val="00CE3468"/>
    <w:pPr>
      <w:spacing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E3468"/>
    <w:pPr>
      <w:spacing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E3468"/>
    <w:pPr>
      <w:spacing w:line="240" w:lineRule="auto"/>
    </w:pPr>
    <w:rPr>
      <w:b/>
      <w:bCs/>
    </w:rPr>
    <w:tblPr/>
    <w:tblStylePr w:type="firstRow">
      <w:rPr>
        <w:color w:val="FFFFFF"/>
      </w:r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</w:tblStylePr>
    <w:tblStylePr w:type="band2Vert">
      <w:rPr>
        <w:color w:val="auto"/>
      </w:rPr>
    </w:tblStylePr>
    <w:tblStylePr w:type="neCell">
      <w:rPr>
        <w:b/>
        <w:bCs/>
      </w:rPr>
    </w:tblStylePr>
  </w:style>
  <w:style w:type="table" w:styleId="Tabellmedkolumn4">
    <w:name w:val="Table Columns 4"/>
    <w:basedOn w:val="Normaltabell"/>
    <w:uiPriority w:val="99"/>
    <w:semiHidden/>
    <w:unhideWhenUsed/>
    <w:rsid w:val="00CE3468"/>
    <w:pPr>
      <w:spacing w:line="240" w:lineRule="auto"/>
    </w:pPr>
    <w:tblPr>
      <w:tblStyleColBandSize w:val="1"/>
    </w:tblPr>
    <w:tcPr>
      <w:shd w:val="pct10" w:color="000000" w:fill="FFFFFF"/>
    </w:tc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ellmedkolumn5">
    <w:name w:val="Table Columns 5"/>
    <w:basedOn w:val="Normaltabell"/>
    <w:uiPriority w:val="99"/>
    <w:semiHidden/>
    <w:unhideWhenUsed/>
    <w:rsid w:val="00CE3468"/>
    <w:pPr>
      <w:spacing w:line="240" w:lineRule="auto"/>
    </w:pPr>
    <w:tblPr>
      <w:tblStyleColBandSize w:val="1"/>
    </w:tblPr>
    <w:tcPr>
      <w:shd w:val="solid" w:color="C0C0C0" w:fill="FFFFFF"/>
    </w:tc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cPr>
      <w:tcBorders>
        <w:top w:val="single" w:sz="6" w:space="0" w:color="000000"/>
      </w:tcBorders>
      <w:shd w:val="solid" w:color="C0C0C0" w:fill="FFFFFF"/>
    </w:tc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1Horz">
      <w:rPr>
        <w:color w:val="auto"/>
      </w:rPr>
    </w:tblStylePr>
    <w:tblStylePr w:type="band2Horz">
      <w:rPr>
        <w:color w:val="auto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E3468"/>
    <w:pPr>
      <w:spacing w:line="240" w:lineRule="auto"/>
    </w:pPr>
    <w:tblPr>
      <w:tblStyleRowBandSize w:val="2"/>
    </w:tblPr>
    <w:tcPr>
      <w:tcBorders>
        <w:top w:val="single" w:sz="6" w:space="0" w:color="000000"/>
      </w:tcBorders>
      <w:shd w:val="pct20" w:color="00FF00" w:fill="FFFFFF"/>
    </w:tc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band1Horz">
      <w:rPr>
        <w:color w:val="auto"/>
      </w:rPr>
    </w:tblStylePr>
    <w:tblStylePr w:type="band2Horz">
      <w:rPr>
        <w:color w:val="auto"/>
      </w:r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b/>
        <w:bCs/>
        <w:color w:val="FFFFFF"/>
      </w:rPr>
    </w:tblStylePr>
  </w:style>
  <w:style w:type="table" w:styleId="Tabellista5">
    <w:name w:val="Table List 5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b/>
        <w:bCs/>
      </w:rPr>
    </w:tblStylePr>
    <w:tblStylePr w:type="firstCol">
      <w:rPr>
        <w:b/>
        <w:bCs/>
      </w:rPr>
    </w:tblStylePr>
  </w:style>
  <w:style w:type="table" w:styleId="Tabellista6">
    <w:name w:val="Table List 6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</w:style>
  <w:style w:type="table" w:styleId="Tabellista7">
    <w:name w:val="Table List 7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cPr>
      <w:shd w:val="pct20" w:color="000000" w:fill="FFFFFF"/>
    </w:tc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</w:style>
  <w:style w:type="table" w:styleId="Tabellista8">
    <w:name w:val="Table List 8"/>
    <w:basedOn w:val="Normaltabell"/>
    <w:uiPriority w:val="99"/>
    <w:semiHidden/>
    <w:unhideWhenUsed/>
    <w:rsid w:val="00CE3468"/>
    <w:pPr>
      <w:spacing w:line="240" w:lineRule="auto"/>
    </w:pPr>
    <w:tblPr>
      <w:tblStyleRowBandSize w:val="1"/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2">
    <w:name w:val="Table Grid 2"/>
    <w:basedOn w:val="Normaltabell"/>
    <w:uiPriority w:val="99"/>
    <w:semiHidden/>
    <w:unhideWhenUsed/>
    <w:rsid w:val="00CE3468"/>
    <w:pPr>
      <w:spacing w:line="240" w:lineRule="auto"/>
    </w:pPr>
    <w:tblPr/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3">
    <w:name w:val="Table Grid 3"/>
    <w:basedOn w:val="Normaltabell"/>
    <w:uiPriority w:val="99"/>
    <w:semiHidden/>
    <w:unhideWhenUsed/>
    <w:rsid w:val="00CE3468"/>
    <w:pPr>
      <w:spacing w:line="240" w:lineRule="auto"/>
    </w:pPr>
    <w:tblPr/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ellrutnt4">
    <w:name w:val="Table Grid 4"/>
    <w:basedOn w:val="Normaltabell"/>
    <w:uiPriority w:val="99"/>
    <w:semiHidden/>
    <w:unhideWhenUsed/>
    <w:rsid w:val="00CE3468"/>
    <w:pPr>
      <w:spacing w:line="240" w:lineRule="auto"/>
    </w:pPr>
    <w:tblPr/>
    <w:tcPr>
      <w:shd w:val="clear" w:color="auto" w:fill="auto"/>
    </w:tcPr>
    <w:tblStylePr w:type="firstRow">
      <w:rPr>
        <w:color w:val="auto"/>
      </w:r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ellrutnt5">
    <w:name w:val="Table Grid 5"/>
    <w:basedOn w:val="Normaltabell"/>
    <w:uiPriority w:val="99"/>
    <w:semiHidden/>
    <w:unhideWhenUsed/>
    <w:rsid w:val="00CE3468"/>
    <w:pPr>
      <w:spacing w:line="240" w:lineRule="auto"/>
    </w:pPr>
    <w:tblPr/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ellrutnt6">
    <w:name w:val="Table Grid 6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E3468"/>
    <w:pPr>
      <w:spacing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E3468"/>
    <w:pPr>
      <w:spacing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E3468"/>
    <w:pPr>
      <w:spacing w:after="0" w:line="240" w:lineRule="auto"/>
    </w:pPr>
    <w:tblPr/>
  </w:style>
  <w:style w:type="table" w:styleId="Tabelltema">
    <w:name w:val="Table Theme"/>
    <w:basedOn w:val="Normaltabell"/>
    <w:uiPriority w:val="99"/>
    <w:semiHidden/>
    <w:unhideWhenUsed/>
    <w:rsid w:val="00CE3468"/>
    <w:pPr>
      <w:spacing w:line="240" w:lineRule="auto"/>
    </w:pPr>
    <w:tblPr/>
  </w:style>
  <w:style w:type="paragraph" w:styleId="Underrubrik">
    <w:name w:val="Subtitle"/>
    <w:basedOn w:val="Normal"/>
    <w:next w:val="Normal"/>
    <w:link w:val="UnderrubrikChar"/>
    <w:uiPriority w:val="11"/>
    <w:rsid w:val="00CE3468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3468"/>
    <w:rPr>
      <w:rFonts w:eastAsiaTheme="minorEastAsia"/>
      <w:color w:val="5A5A5A" w:themeColor="text1" w:themeTint="A5"/>
      <w:spacing w:val="15"/>
      <w:sz w:val="22"/>
      <w:szCs w:val="22"/>
      <w:lang w:val="sv-SE"/>
    </w:rPr>
  </w:style>
  <w:style w:type="table" w:styleId="Webbtabell1">
    <w:name w:val="Table Web 1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color w:val="auto"/>
      </w:rPr>
    </w:tblStylePr>
  </w:style>
  <w:style w:type="table" w:styleId="Webbtabell2">
    <w:name w:val="Table Web 2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color w:val="auto"/>
      </w:rPr>
    </w:tblStylePr>
  </w:style>
  <w:style w:type="table" w:styleId="Webbtabell3">
    <w:name w:val="Table Web 3"/>
    <w:basedOn w:val="Normaltabell"/>
    <w:uiPriority w:val="99"/>
    <w:semiHidden/>
    <w:unhideWhenUsed/>
    <w:rsid w:val="00CE3468"/>
    <w:pPr>
      <w:spacing w:line="240" w:lineRule="auto"/>
    </w:pPr>
    <w:tblPr/>
    <w:tblStylePr w:type="firstRow">
      <w:rPr>
        <w:color w:val="auto"/>
      </w:rPr>
    </w:tblStylePr>
  </w:style>
  <w:style w:type="paragraph" w:customStyle="1" w:styleId="Default">
    <w:name w:val="Default"/>
    <w:rsid w:val="00651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v-SE"/>
    </w:rPr>
  </w:style>
  <w:style w:type="paragraph" w:customStyle="1" w:styleId="brd-a">
    <w:name w:val="bröd-a"/>
    <w:rsid w:val="00B166D9"/>
    <w:pPr>
      <w:spacing w:after="0" w:line="280" w:lineRule="exact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customStyle="1" w:styleId="normaltextrun">
    <w:name w:val="normaltextrun"/>
    <w:basedOn w:val="Standardstycketeckensnitt"/>
    <w:rsid w:val="000C1E51"/>
  </w:style>
  <w:style w:type="paragraph" w:customStyle="1" w:styleId="Liststycke1">
    <w:name w:val="Liststycke1"/>
    <w:basedOn w:val="Normal"/>
    <w:rsid w:val="007772ED"/>
    <w:pPr>
      <w:ind w:left="720"/>
    </w:pPr>
    <w:rPr>
      <w:rFonts w:ascii="Times New Roman" w:eastAsia="Times New Roman" w:hAnsi="Times New Roman" w:cs="Times New Roman"/>
      <w:szCs w:val="20"/>
      <w:lang w:eastAsia="sv-SE"/>
    </w:rPr>
  </w:style>
  <w:style w:type="paragraph" w:styleId="Revision">
    <w:name w:val="Revision"/>
    <w:hidden/>
    <w:uiPriority w:val="99"/>
    <w:semiHidden/>
    <w:rsid w:val="0024121C"/>
    <w:pPr>
      <w:spacing w:after="0" w:line="240" w:lineRule="auto"/>
    </w:pPr>
    <w:rPr>
      <w:rFonts w:ascii="Arial" w:hAnsi="Arial" w:cs="Arial"/>
      <w:sz w:val="22"/>
      <w:szCs w:val="22"/>
    </w:rPr>
  </w:style>
  <w:style w:type="character" w:styleId="Olstomnmnande">
    <w:name w:val="Unresolved Mention"/>
    <w:basedOn w:val="Standardstycketeckensnitt"/>
    <w:uiPriority w:val="99"/>
    <w:unhideWhenUsed/>
    <w:rsid w:val="00163477"/>
    <w:rPr>
      <w:color w:val="605E5C"/>
      <w:shd w:val="clear" w:color="auto" w:fill="E1DFDD"/>
    </w:rPr>
  </w:style>
  <w:style w:type="character" w:styleId="Nmn">
    <w:name w:val="Mention"/>
    <w:basedOn w:val="Standardstycketeckensnitt"/>
    <w:uiPriority w:val="99"/>
    <w:unhideWhenUsed/>
    <w:rsid w:val="00BB0EAB"/>
    <w:rPr>
      <w:color w:val="2B579A"/>
      <w:shd w:val="clear" w:color="auto" w:fill="E1DFDD"/>
    </w:rPr>
  </w:style>
  <w:style w:type="paragraph" w:customStyle="1" w:styleId="pf0">
    <w:name w:val="pf0"/>
    <w:basedOn w:val="Normal"/>
    <w:rsid w:val="00644E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225FC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7118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KO38\AppData\Roaming\Folksam%20Mallar\_Gemensamma\Folksam\Neutral%20sv.dotx" TargetMode="External"/></Relationships>
</file>

<file path=word/theme/theme1.xml><?xml version="1.0" encoding="utf-8"?>
<a:theme xmlns:a="http://schemas.openxmlformats.org/drawingml/2006/main" name="Folksam">
  <a:themeElements>
    <a:clrScheme name="Folksam">
      <a:dk1>
        <a:sysClr val="windowText" lastClr="000000"/>
      </a:dk1>
      <a:lt1>
        <a:sysClr val="window" lastClr="FFFFFF"/>
      </a:lt1>
      <a:dk2>
        <a:srgbClr val="919191"/>
      </a:dk2>
      <a:lt2>
        <a:srgbClr val="EEECE1"/>
      </a:lt2>
      <a:accent1>
        <a:srgbClr val="009FE4"/>
      </a:accent1>
      <a:accent2>
        <a:srgbClr val="E6007E"/>
      </a:accent2>
      <a:accent3>
        <a:srgbClr val="B0CB0B"/>
      </a:accent3>
      <a:accent4>
        <a:srgbClr val="FFCC00"/>
      </a:accent4>
      <a:accent5>
        <a:srgbClr val="E9F88E"/>
      </a:accent5>
      <a:accent6>
        <a:srgbClr val="919191"/>
      </a:accent6>
      <a:hlink>
        <a:srgbClr val="009FE4"/>
      </a:hlink>
      <a:folHlink>
        <a:srgbClr val="E6007E"/>
      </a:folHlink>
    </a:clrScheme>
    <a:fontScheme name="Folksam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root xmlns="LPXML">
  <namn/>
  <titel/>
  <avdelning/>
  <kontakt>
    <telefon/>
    <mobil/>
    <epost/>
    <adress>
      <co/>
      <box/>
      <gata/>
      <postnr/>
      <ort/>
      <land/>
    </adress>
  </kontakt>
  <extra1/>
  <extra2/>
  <extra3/>
  <extra4/>
  <extra5/>
  <extra6/>
  <extra7/>
  <extra8/>
  <extra9/>
</root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92823BAC9A234DB4B34F587761CE1C" ma:contentTypeVersion="19" ma:contentTypeDescription="Skapa ett nytt dokument." ma:contentTypeScope="" ma:versionID="bee90b26246a67bdf165b878cdb941cf">
  <xsd:schema xmlns:xsd="http://www.w3.org/2001/XMLSchema" xmlns:xs="http://www.w3.org/2001/XMLSchema" xmlns:p="http://schemas.microsoft.com/office/2006/metadata/properties" xmlns:ns2="63f6227b-0681-4eae-bdc6-905d5f85a345" xmlns:ns3="0de296b2-6390-41ad-a291-6daf487d33b0" targetNamespace="http://schemas.microsoft.com/office/2006/metadata/properties" ma:root="true" ma:fieldsID="706e951256a83c893e1e4af42347e199" ns2:_="" ns3:_="">
    <xsd:import namespace="63f6227b-0681-4eae-bdc6-905d5f85a345"/>
    <xsd:import namespace="0de296b2-6390-41ad-a291-6daf487d3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Komment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6227b-0681-4eae-bdc6-905d5f85a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ommentar" ma:index="19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8cfc3067-0cab-4ab2-9596-8ce0708ae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296b2-6390-41ad-a291-6daf487d3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ee1064d-4013-41f1-8abc-37ae5298d2a9}" ma:internalName="TaxCatchAll" ma:showField="CatchAllData" ma:web="0de296b2-6390-41ad-a291-6daf487d33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de296b2-6390-41ad-a291-6daf487d33b0">
      <UserInfo>
        <DisplayName>Anette Mors Dahlström</DisplayName>
        <AccountId>21</AccountId>
        <AccountType/>
      </UserInfo>
      <UserInfo>
        <DisplayName>Camilla Salomonsson</DisplayName>
        <AccountId>22</AccountId>
        <AccountType/>
      </UserInfo>
      <UserInfo>
        <DisplayName>Susanna Rahnster</DisplayName>
        <AccountId>24</AccountId>
        <AccountType/>
      </UserInfo>
      <UserInfo>
        <DisplayName>Åsa Henriksson Tjeder</DisplayName>
        <AccountId>25</AccountId>
        <AccountType/>
      </UserInfo>
      <UserInfo>
        <DisplayName>Katarina Östberg</DisplayName>
        <AccountId>152</AccountId>
        <AccountType/>
      </UserInfo>
      <UserInfo>
        <DisplayName>Katarina Swartling</DisplayName>
        <AccountId>23</AccountId>
        <AccountType/>
      </UserInfo>
      <UserInfo>
        <DisplayName>Maria Liljedahl</DisplayName>
        <AccountId>51</AccountId>
        <AccountType/>
      </UserInfo>
      <UserInfo>
        <DisplayName>Charlotta Carlberg</DisplayName>
        <AccountId>182</AccountId>
        <AccountType/>
      </UserInfo>
      <UserInfo>
        <DisplayName>Dan Nedergård</DisplayName>
        <AccountId>27</AccountId>
        <AccountType/>
      </UserInfo>
    </SharedWithUsers>
    <lcf76f155ced4ddcb4097134ff3c332f xmlns="63f6227b-0681-4eae-bdc6-905d5f85a345">
      <Terms xmlns="http://schemas.microsoft.com/office/infopath/2007/PartnerControls"/>
    </lcf76f155ced4ddcb4097134ff3c332f>
    <Kommentar xmlns="63f6227b-0681-4eae-bdc6-905d5f85a345" xsi:nil="true"/>
    <TaxCatchAll xmlns="0de296b2-6390-41ad-a291-6daf487d33b0" xsi:nil="true"/>
  </documentManagement>
</p:properties>
</file>

<file path=customXml/itemProps1.xml><?xml version="1.0" encoding="utf-8"?>
<ds:datastoreItem xmlns:ds="http://schemas.openxmlformats.org/officeDocument/2006/customXml" ds:itemID="{252D5C0D-0CDE-4563-865F-965F5E4B90CF}">
  <ds:schemaRefs>
    <ds:schemaRef ds:uri="LPXML"/>
  </ds:schemaRefs>
</ds:datastoreItem>
</file>

<file path=customXml/itemProps2.xml><?xml version="1.0" encoding="utf-8"?>
<ds:datastoreItem xmlns:ds="http://schemas.openxmlformats.org/officeDocument/2006/customXml" ds:itemID="{9972252A-A320-4A33-96EB-307B0D91A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05653B-6480-4BAB-AF55-BF8BAA748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6227b-0681-4eae-bdc6-905d5f85a345"/>
    <ds:schemaRef ds:uri="0de296b2-6390-41ad-a291-6daf487d3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FA9E3A-2741-40BD-B256-8ECEE36DBE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59BC258-3D49-4E9C-B263-D8BF0B2A0E3D}">
  <ds:schemaRefs>
    <ds:schemaRef ds:uri="0de296b2-6390-41ad-a291-6daf487d33b0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63f6227b-0681-4eae-bdc6-905d5f85a34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Neutral sv</Template>
  <TotalTime>6</TotalTime>
  <Pages>18</Pages>
  <Words>5023</Words>
  <Characters>26626</Characters>
  <Application>Microsoft Office Word</Application>
  <DocSecurity>0</DocSecurity>
  <Lines>221</Lines>
  <Paragraphs>63</Paragraphs>
  <ScaleCrop>false</ScaleCrop>
  <Company/>
  <LinksUpToDate>false</LinksUpToDate>
  <CharactersWithSpaces>31586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Försäkringstekniska riktlinjer för Folksam Tjänstepension ABFörsäkringstekniska riktlinjer för Folksam Tjänstepension ABFörsäkringstekniska riktlinjer för Folksam Tjänstepension ABFörsäkringstekniska riktlinjer för Folksam Tjänstepension AB</dc:title>
  <dc:subject/>
  <dc:creator>Therese Kock-Larsen</dc:creator>
  <cp:keywords/>
  <cp:lastModifiedBy>Anette Mors Dahlström</cp:lastModifiedBy>
  <cp:revision>9</cp:revision>
  <cp:lastPrinted>2026-06-05T08:17:00Z</cp:lastPrinted>
  <dcterms:created xsi:type="dcterms:W3CDTF">2026-06-05T08:11:00Z</dcterms:created>
  <dcterms:modified xsi:type="dcterms:W3CDTF">2026-06-05T08:17:00Z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bool>true</vt:bool>
  </property>
  <property fmtid="{D5CDD505-2E9C-101B-9397-08002B2CF9AE}" pid="3" name="Informationsklass">
    <vt:bool>true</vt:bool>
  </property>
  <property fmtid="{D5CDD505-2E9C-101B-9397-08002B2CF9AE}" pid="4" name="ContentTypeId">
    <vt:lpwstr>0x0101008792823BAC9A234DB4B34F587761CE1C</vt:lpwstr>
  </property>
  <property fmtid="{D5CDD505-2E9C-101B-9397-08002B2CF9AE}" pid="5" name="MediaServiceImageTags">
    <vt:lpwstr/>
  </property>
  <property fmtid="{D5CDD505-2E9C-101B-9397-08002B2CF9AE}" pid="6" name="ClassificationContentMarkingHeaderShapeIds">
    <vt:lpwstr>19202d68,d652ee5,3958d1fe</vt:lpwstr>
  </property>
  <property fmtid="{D5CDD505-2E9C-101B-9397-08002B2CF9AE}" pid="7" name="ClassificationContentMarkingHeaderFontProps">
    <vt:lpwstr>#000000,8,Calibri</vt:lpwstr>
  </property>
  <property fmtid="{D5CDD505-2E9C-101B-9397-08002B2CF9AE}" pid="8" name="ClassificationContentMarkingHeaderText">
    <vt:lpwstr>Informationsklass: Konfidentiell</vt:lpwstr>
  </property>
  <property fmtid="{D5CDD505-2E9C-101B-9397-08002B2CF9AE}" pid="9" name="MSIP_Label_4159e108-5644-448d-aebe-12e4944541a3_Enabled">
    <vt:lpwstr>true</vt:lpwstr>
  </property>
  <property fmtid="{D5CDD505-2E9C-101B-9397-08002B2CF9AE}" pid="10" name="MSIP_Label_4159e108-5644-448d-aebe-12e4944541a3_SetDate">
    <vt:lpwstr>2026-05-18T09:50:39Z</vt:lpwstr>
  </property>
  <property fmtid="{D5CDD505-2E9C-101B-9397-08002B2CF9AE}" pid="11" name="MSIP_Label_4159e108-5644-448d-aebe-12e4944541a3_Method">
    <vt:lpwstr>Privileged</vt:lpwstr>
  </property>
  <property fmtid="{D5CDD505-2E9C-101B-9397-08002B2CF9AE}" pid="12" name="MSIP_Label_4159e108-5644-448d-aebe-12e4944541a3_Name">
    <vt:lpwstr>4159e108-5644-448d-aebe-12e4944541a3</vt:lpwstr>
  </property>
  <property fmtid="{D5CDD505-2E9C-101B-9397-08002B2CF9AE}" pid="13" name="MSIP_Label_4159e108-5644-448d-aebe-12e4944541a3_SiteId">
    <vt:lpwstr>04368cd7-79db-48c2-a243-1f6c2025dec8</vt:lpwstr>
  </property>
  <property fmtid="{D5CDD505-2E9C-101B-9397-08002B2CF9AE}" pid="14" name="MSIP_Label_4159e108-5644-448d-aebe-12e4944541a3_ActionId">
    <vt:lpwstr>c0e3da93-9b8b-48f2-8b86-65279d38baa5</vt:lpwstr>
  </property>
  <property fmtid="{D5CDD505-2E9C-101B-9397-08002B2CF9AE}" pid="15" name="MSIP_Label_4159e108-5644-448d-aebe-12e4944541a3_ContentBits">
    <vt:lpwstr>1</vt:lpwstr>
  </property>
  <property fmtid="{D5CDD505-2E9C-101B-9397-08002B2CF9AE}" pid="16" name="MSIP_Label_4159e108-5644-448d-aebe-12e4944541a3_Tag">
    <vt:lpwstr>10, 0, 1, 1</vt:lpwstr>
  </property>
</Properties>
</file>